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27B" w:rsidRDefault="008E327B" w:rsidP="00C37654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 w:bidi="he-IL"/>
        </w:rPr>
        <w:t>Диагностика и интенсивная терапия сепсиса и септического шока</w:t>
      </w:r>
    </w:p>
    <w:p w:rsidR="008E327B" w:rsidRDefault="008E327B" w:rsidP="00C37654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 w:bidi="he-IL"/>
        </w:rPr>
        <w:t>Клинический протокол</w:t>
      </w:r>
    </w:p>
    <w:p w:rsidR="008E327B" w:rsidRPr="008E327B" w:rsidRDefault="008E327B" w:rsidP="00C37654">
      <w:pPr>
        <w:spacing w:before="100" w:beforeAutospacing="1" w:after="100" w:afterAutospacing="1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Клинический протокол использует определения Sepsis-3 как основу терминологии и диагностики. Важно разделять два этапа: раннее выявление пациента с возможной инфекцией и/или ухудшением состояния и формальную клиническую операционализацию сепсиса по острой органной дисфункции. Скрининг не должен подменять клиническую оценку и не должен использоваться как самостоятельный диагноз сепсиса.</w:t>
      </w:r>
    </w:p>
    <w:p w:rsidR="008E327B" w:rsidRPr="008E327B" w:rsidRDefault="008E327B" w:rsidP="00C37654">
      <w:pPr>
        <w:pStyle w:val="a3"/>
        <w:numPr>
          <w:ilvl w:val="0"/>
          <w:numId w:val="14"/>
        </w:num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Фундаментальные определения и классификация</w:t>
      </w:r>
    </w:p>
    <w:p w:rsidR="008E327B" w:rsidRPr="008E327B" w:rsidRDefault="008E327B" w:rsidP="00C37654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 w:bidi="he-IL"/>
        </w:rPr>
      </w:pPr>
      <w:r>
        <w:rPr>
          <w:rFonts w:ascii="Arial" w:hAnsi="Arial"/>
          <w:sz w:val="21"/>
        </w:rPr>
        <w:t>Согласно Sepsis-3 современное определение сепсиса основывается на жизнеугрожающей органной дисфункции вследствие дисрегулированного ответа хозяина на инфекцию. SSC 2026 использует эту концептуальную основу для клинического ведения взрослых пациентов.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клинической практике должны использоваться следующие дефиниции:</w:t>
      </w:r>
    </w:p>
    <w:p w:rsid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Сепсис — это </w:t>
      </w:r>
      <w:proofErr w:type="spellStart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жизнеугрожающая</w:t>
      </w:r>
      <w:proofErr w:type="spellEnd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органная дисфункция, вызванная нарушенным ответом </w:t>
      </w:r>
      <w:proofErr w:type="spellStart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макроорганизма</w:t>
      </w:r>
      <w:proofErr w:type="spellEnd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(хозяина) на инфекцию.</w:t>
      </w:r>
    </w:p>
    <w:p w:rsidR="008E327B" w:rsidRPr="0020575F" w:rsidRDefault="008E327B" w:rsidP="00C37654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205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Критерии диагностики (Sepsis-3):</w:t>
      </w:r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</w:p>
    <w:p w:rsidR="008E327B" w:rsidRPr="0020575F" w:rsidRDefault="008E327B" w:rsidP="00C37654">
      <w:pPr>
        <w:numPr>
          <w:ilvl w:val="1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Наличие подтвержденной или подозреваемой </w:t>
      </w:r>
      <w:r w:rsidRPr="00205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инфекции</w:t>
      </w:r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Pr="0020575F" w:rsidRDefault="008E327B" w:rsidP="00C37654">
      <w:pPr>
        <w:numPr>
          <w:ilvl w:val="1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Органная дисфункция, клинически операционализируемая как острое увеличение суммы баллов SOFA на ≥2 балла вследствие инфекции. Если исходный SOFA неизвестен, в рамках Sepsis-3 допускается исходный SOFA 0, если нет данных о предшествующей органной дисфункции.</w:t>
      </w:r>
    </w:p>
    <w:p w:rsid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Септический шок — это подмножество случаев сепсиса, при которых глубокие нарушения кровообращения, клеточного и метаболического обмена значительно повышают риск смертности.</w:t>
      </w:r>
    </w:p>
    <w:p w:rsidR="008E327B" w:rsidRPr="0020575F" w:rsidRDefault="008E327B" w:rsidP="00C37654">
      <w:pPr>
        <w:numPr>
          <w:ilvl w:val="1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Соответствие критериям сепсиса.</w:t>
      </w:r>
    </w:p>
    <w:p w:rsidR="008E327B" w:rsidRPr="0020575F" w:rsidRDefault="008E327B" w:rsidP="00C37654">
      <w:pPr>
        <w:numPr>
          <w:ilvl w:val="1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Необходимость введения </w:t>
      </w:r>
      <w:proofErr w:type="spellStart"/>
      <w:r w:rsidRPr="00205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вазопрессоров</w:t>
      </w:r>
      <w:proofErr w:type="spellEnd"/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для поддержания среднего артериального давления (САД) </w:t>
      </w:r>
      <w:r w:rsidRPr="00205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≥65 мм рт. ст.</w:t>
      </w:r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Default="008E327B" w:rsidP="00C37654">
      <w:pPr>
        <w:numPr>
          <w:ilvl w:val="1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Уровень </w:t>
      </w:r>
      <w:proofErr w:type="spellStart"/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лактата</w:t>
      </w:r>
      <w:proofErr w:type="spellEnd"/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в сыворотке крови </w:t>
      </w:r>
      <w:r w:rsidRPr="00205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&gt;2 </w:t>
      </w:r>
      <w:proofErr w:type="spellStart"/>
      <w:r w:rsidRPr="00205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ммоль</w:t>
      </w:r>
      <w:proofErr w:type="spellEnd"/>
      <w:r w:rsidRPr="00205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/л</w:t>
      </w:r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(18 мг/</w:t>
      </w:r>
      <w:proofErr w:type="spellStart"/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дл</w:t>
      </w:r>
      <w:proofErr w:type="spellEnd"/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) даже после адекватной инфузионной терапии.</w:t>
      </w:r>
    </w:p>
    <w:p w:rsidR="008E327B" w:rsidRPr="0020575F" w:rsidRDefault="008E327B" w:rsidP="00C37654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Default="008E327B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Клиническая интерпретация инструментов скрининга</w:t>
      </w:r>
    </w:p>
    <w:p w:rsidR="008E327B" w:rsidRPr="00105D9F" w:rsidRDefault="008E327B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SIRS (Синдром системной воспалительной реакции):</w:t>
      </w:r>
    </w:p>
    <w:p w:rsidR="008E327B" w:rsidRPr="00105D9F" w:rsidRDefault="008E327B" w:rsidP="00C37654">
      <w:pPr>
        <w:numPr>
          <w:ilvl w:val="1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lastRenderedPageBreak/>
        <w:t>Показатели чувствительности и специфичности SIRS зависят от популяции, определения исхода и момента оценки; приведенные здесь 82% и 24% не следует использовать как универсальные характеристики.</w:t>
      </w:r>
    </w:p>
    <w:p w:rsidR="008E327B" w:rsidRDefault="008E327B" w:rsidP="00C37654">
      <w:pPr>
        <w:numPr>
          <w:ilvl w:val="1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Команда врачу: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Используйте исключительно для первичного «отсева» в приемном покое. Низкая специфичность означает, что SIRS — это лишь повод для настороженности, а не основание для диагноза.</w:t>
      </w:r>
    </w:p>
    <w:p w:rsidR="008E327B" w:rsidRPr="00105D9F" w:rsidRDefault="008E327B" w:rsidP="00C37654">
      <w:pPr>
        <w:spacing w:before="100" w:beforeAutospacing="1" w:after="100" w:afterAutospacing="1" w:line="276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Pr="00105D9F" w:rsidRDefault="008E327B" w:rsidP="00C37654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qSOFA</w:t>
      </w:r>
      <w:proofErr w:type="spellEnd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:</w:t>
      </w:r>
    </w:p>
    <w:p w:rsidR="008E327B" w:rsidRPr="00105D9F" w:rsidRDefault="008E327B" w:rsidP="00C37654">
      <w:pPr>
        <w:numPr>
          <w:ilvl w:val="1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Показатели чувствительности и специфичности qSOFA зависят от исследуемой популяции и исхода; конкретные значения 46% и 82% не следует использовать как универсальные характеристики.</w:t>
      </w:r>
    </w:p>
    <w:p w:rsidR="008E327B" w:rsidRDefault="008E327B" w:rsidP="00C37654">
      <w:pPr>
        <w:numPr>
          <w:ilvl w:val="1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Команда врачу: qSOFA не следует использовать как единственный инструмент скрининга сепсиса. Его можно рассматривать как показатель повышенного риска неблагоприятного исхода у пациента с подозрением на инфекцию, но низкий qSOFA не исключает сепсис. Для раннего выявления клинического ухудшения предпочтительнее использовать валидированные системы раннего предупреждения, применяемые в конкретной медицинской организации.</w:t>
      </w:r>
    </w:p>
    <w:p w:rsidR="008E327B" w:rsidRPr="00105D9F" w:rsidRDefault="008E327B" w:rsidP="00C37654">
      <w:pPr>
        <w:numPr>
          <w:ilvl w:val="1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Pr="00105D9F" w:rsidRDefault="008E327B" w:rsidP="00C37654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he-IL"/>
        </w:rPr>
        <w:t>NEWS (National Early Warning Score):</w:t>
      </w:r>
    </w:p>
    <w:p w:rsidR="008E327B" w:rsidRPr="00105D9F" w:rsidRDefault="008E327B" w:rsidP="00C37654">
      <w:pPr>
        <w:numPr>
          <w:ilvl w:val="1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Диагностические характеристики NEWS зависят от порога, популяции и исследуемого исхода; универсальные значения чувствительности и специфичности в протоколе не устанавливаются.</w:t>
      </w:r>
    </w:p>
    <w:p w:rsidR="008E327B" w:rsidRPr="00105D9F" w:rsidRDefault="008E327B" w:rsidP="00C37654">
      <w:pPr>
        <w:numPr>
          <w:ilvl w:val="1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Команда врачу: NEWS/NEWS2 может использоваться для раннего выявления клинического ухудшения в общих отделениях в соответствии с локально утвержденным алгоритмом эскалации помощи. Ни один скрининговый балл не заменяет клиническую оценку.</w:t>
      </w:r>
    </w:p>
    <w:p w:rsid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</w:p>
    <w:p w:rsid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Для </w:t>
      </w:r>
      <w:r w:rsidRPr="00205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детей</w:t>
      </w:r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(согласно новым критериям </w:t>
      </w:r>
      <w:proofErr w:type="spellStart"/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Phoenix</w:t>
      </w:r>
      <w:proofErr w:type="spellEnd"/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Sepsis</w:t>
      </w:r>
      <w:proofErr w:type="spellEnd"/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Score</w:t>
      </w:r>
      <w:proofErr w:type="spellEnd"/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2024) сепсис диагностируется при подозрении на инфекцию и сумме баллов по шкале </w:t>
      </w:r>
      <w:proofErr w:type="spellStart"/>
      <w:r w:rsidRPr="00205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Phoenix</w:t>
      </w:r>
      <w:proofErr w:type="spellEnd"/>
      <w:r w:rsidRPr="00205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≥2</w:t>
      </w:r>
      <w:r w:rsidRPr="0020575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Pr="0020575F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Pr="00105D9F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При подозрении на инфекцию и признаках органной дисфункции следует оценить SOFA и другие признаки органной дисфункции. Скрининговый балл сам по себе не является показанием автоматически устанавливать диагноз сепсиса.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</w:p>
    <w:p w:rsidR="008E327B" w:rsidRDefault="008E327B" w:rsidP="00C3765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Критерии диагностики и шкала SOFA. SOFA является клинической операционализацией органной дисфункции в рамках Sepsis-3, а не самостоятельным «золотым стандартом» диагностики. Сепсис определяется сочетанием подозреваемой или подтвержденной инфекции и жизнеугрожающей органной дисфункции; для клинической операционализации используется острое увеличение SOFA ≥2 баллов.</w:t>
      </w:r>
    </w:p>
    <w:p w:rsidR="008E327B" w:rsidRPr="008E327B" w:rsidRDefault="008E327B" w:rsidP="00C3765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lastRenderedPageBreak/>
        <w:t>Диагностика септического шока (после адекватной инфузионной нагрузки):</w:t>
      </w:r>
    </w:p>
    <w:p w:rsidR="008E327B" w:rsidRPr="008E327B" w:rsidRDefault="008E327B" w:rsidP="00C3765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Необходимость в </w:t>
      </w:r>
      <w:proofErr w:type="spellStart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вазопрессорах</w:t>
      </w:r>
      <w:proofErr w:type="spell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для поддержания среднего артериального давления (MAP)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≥ 65 мм рт. ст. [GRADE 2C]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;</w:t>
      </w:r>
    </w:p>
    <w:p w:rsidR="008E327B" w:rsidRPr="008E327B" w:rsidRDefault="008E327B" w:rsidP="00C3765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Уровень </w:t>
      </w:r>
      <w:proofErr w:type="spellStart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лактата</w:t>
      </w:r>
      <w:proofErr w:type="spell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в крови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&gt; 2 </w:t>
      </w:r>
      <w:proofErr w:type="spellStart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ммоль</w:t>
      </w:r>
      <w:proofErr w:type="spellEnd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/л (18 мг/</w:t>
      </w:r>
      <w:proofErr w:type="spellStart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дл</w:t>
      </w:r>
      <w:proofErr w:type="spellEnd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)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Успех терапии напрямую зависит от выявления пациента в пределах «терапевтического окна» до развития необратимой полиорганной недостаточности.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Pr="008E327B" w:rsidRDefault="008E327B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2. Раннее выявление и первичная оценка (ER и общие отделения)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Скрининг должен начинаться до поступления в ОРИТ. Врач обязан учитывать ограничения инструментов раннего выявления: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883"/>
        <w:gridCol w:w="1705"/>
        <w:gridCol w:w="4476"/>
      </w:tblGrid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Инструмент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Чувствительность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Специфичность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Клиническое значение</w:t>
            </w:r>
          </w:p>
        </w:tc>
      </w:tr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SIRS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Высокая (82%)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Низкая (24%)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Оптимален для первичного «отсева» (высокая негативная прогностическая ценность).</w:t>
            </w:r>
          </w:p>
        </w:tc>
      </w:tr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spellStart"/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qSOFA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Низкая (46%)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Высокая (82%)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Недопустим</w:t>
            </w: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как единственный инструмент скрининга; надежен только для прогноза летальности.</w:t>
            </w:r>
          </w:p>
        </w:tc>
      </w:tr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NEWS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Умеренная (73%)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Умеренная (52%)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Сбалансированный инструмент оценки общего клинического ухудшения.</w:t>
            </w:r>
          </w:p>
        </w:tc>
      </w:tr>
    </w:tbl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Алгоритм действий при подозрении на сепсис:</w:t>
      </w:r>
    </w:p>
    <w:p w:rsidR="008E327B" w:rsidRPr="008E327B" w:rsidRDefault="008E327B" w:rsidP="00C37654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Оценка витальных функций и расчет скринингового балла (NEWS/</w:t>
      </w:r>
      <w:proofErr w:type="spellStart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qSOFA</w:t>
      </w:r>
      <w:proofErr w:type="spell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).</w:t>
      </w:r>
    </w:p>
    <w:p w:rsidR="008E327B" w:rsidRPr="008E327B" w:rsidRDefault="008E327B" w:rsidP="00C37654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При выявлении рисков — немедленный расчет полной шкалы SOFA.</w:t>
      </w:r>
    </w:p>
    <w:p w:rsidR="008E327B" w:rsidRPr="008E327B" w:rsidRDefault="008E327B" w:rsidP="00C37654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Использование </w:t>
      </w:r>
      <w:proofErr w:type="spellStart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биомаркеров</w:t>
      </w:r>
      <w:proofErr w:type="spell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(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CRP, PCT, P-SEP, IL-6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) строго как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вспомогательных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индикаторов. Ни один маркер не обладает достаточной точностью для самостоятельной постановки диагноза.</w:t>
      </w:r>
    </w:p>
    <w:p w:rsidR="008E327B" w:rsidRDefault="008E327B" w:rsidP="00C37654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Параллельный поиск и верификация очага инфекции.</w:t>
      </w:r>
    </w:p>
    <w:p w:rsidR="008243F9" w:rsidRPr="00105D9F" w:rsidRDefault="008243F9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Алгоритм диагностики септического шока (Если</w:t>
      </w:r>
      <w:proofErr w:type="gramStart"/>
      <w:r w:rsidRPr="00105D9F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/То</w:t>
      </w:r>
      <w:proofErr w:type="gramEnd"/>
      <w:r w:rsidRPr="00105D9F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)</w:t>
      </w:r>
    </w:p>
    <w:p w:rsidR="008243F9" w:rsidRPr="00105D9F" w:rsidRDefault="008243F9" w:rsidP="00C37654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Если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у пациента с сепсисом сохраняется гипотензия, требующая </w:t>
      </w:r>
      <w:proofErr w:type="spellStart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вазопрессоров</w:t>
      </w:r>
      <w:proofErr w:type="spellEnd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для поддержания </w:t>
      </w: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MAP ≥ 65 мм рт. ст.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,</w:t>
      </w:r>
    </w:p>
    <w:p w:rsidR="008243F9" w:rsidRPr="00105D9F" w:rsidRDefault="008243F9" w:rsidP="00C37654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И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уровень </w:t>
      </w:r>
      <w:proofErr w:type="spellStart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лактата</w:t>
      </w:r>
      <w:proofErr w:type="spellEnd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крови составляет </w:t>
      </w: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&gt; 2 </w:t>
      </w:r>
      <w:proofErr w:type="spellStart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ммоль</w:t>
      </w:r>
      <w:proofErr w:type="spellEnd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/л (18 мг/</w:t>
      </w:r>
      <w:proofErr w:type="spellStart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дл</w:t>
      </w:r>
      <w:proofErr w:type="spellEnd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)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на фоне адекватной инфузионной нагрузки,</w:t>
      </w:r>
    </w:p>
    <w:p w:rsidR="008243F9" w:rsidRDefault="008243F9" w:rsidP="00C37654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То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диагностируется септический шок.</w:t>
      </w:r>
    </w:p>
    <w:p w:rsidR="008243F9" w:rsidRPr="00105D9F" w:rsidRDefault="008243F9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243F9" w:rsidRPr="008243F9" w:rsidRDefault="008243F9" w:rsidP="00C37654">
      <w:pPr>
        <w:spacing w:before="100" w:beforeAutospacing="1" w:after="100" w:afterAutospacing="1" w:line="276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 w:rsidRPr="008243F9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 xml:space="preserve">Роль </w:t>
      </w:r>
      <w:proofErr w:type="spellStart"/>
      <w:r w:rsidRPr="008243F9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биомаркеров</w:t>
      </w:r>
      <w:proofErr w:type="spellEnd"/>
      <w:r w:rsidRPr="008243F9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 xml:space="preserve"> (CRP, PCT, P-SEP, IL-6)</w:t>
      </w:r>
    </w:p>
    <w:p w:rsidR="008243F9" w:rsidRDefault="008243F9" w:rsidP="00C37654">
      <w:pPr>
        <w:pStyle w:val="a3"/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243F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lastRenderedPageBreak/>
        <w:t xml:space="preserve"> </w:t>
      </w:r>
      <w:r w:rsidRPr="00824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Запрещено выставлять диагноз сепсиса на основании одного лишь уровня РСТ или других маркеров.</w:t>
      </w:r>
      <w:r w:rsidRPr="008243F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Несмотря на AUROC в диапазоне 0.73–0.88, их точность недостаточна для самостоятельной диагностики. Они являются лишь вспомогательными индикаторами к клинической оценке (</w:t>
      </w:r>
      <w:proofErr w:type="spellStart"/>
      <w:r w:rsidRPr="008243F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Provision</w:t>
      </w:r>
      <w:proofErr w:type="spellEnd"/>
      <w:r w:rsidRPr="008243F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8243F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of</w:t>
      </w:r>
      <w:proofErr w:type="spellEnd"/>
      <w:r w:rsidRPr="008243F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8243F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Information</w:t>
      </w:r>
      <w:proofErr w:type="spellEnd"/>
      <w:r w:rsidRPr="008243F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).</w:t>
      </w:r>
    </w:p>
    <w:p w:rsidR="008243F9" w:rsidRPr="008243F9" w:rsidRDefault="008243F9" w:rsidP="00C3765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243F9" w:rsidRPr="008243F9" w:rsidRDefault="008243F9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243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he-IL"/>
        </w:rPr>
        <w:t>Подтверждение диагноза — триггер для немедленной идентификации возбудителя.</w:t>
      </w:r>
    </w:p>
    <w:p w:rsidR="008243F9" w:rsidRPr="008E327B" w:rsidRDefault="008243F9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Pr="008E327B" w:rsidRDefault="008E327B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3. Микробиологическая диагностика и контроль источника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Правила забора крови [GPS]:</w:t>
      </w:r>
    </w:p>
    <w:p w:rsidR="008243F9" w:rsidRPr="00105D9F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По возможности образцы для микробиологического исследования следует получить до первой дозы антибиотика, если это не приводит к клинически значимой задержке противомикробной терапии. Не следует задерживать жизнеспасающую терапию ради получения посевов.</w:t>
      </w:r>
    </w:p>
    <w:p w:rsidR="008243F9" w:rsidRPr="008243F9" w:rsidRDefault="008243F9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r w:rsidRPr="00824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Пошаговая инструкция по забору крови:</w:t>
      </w:r>
    </w:p>
    <w:p w:rsidR="008243F9" w:rsidRPr="008243F9" w:rsidRDefault="008243F9" w:rsidP="00C37654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При подозрении на бактериемию обычно следует получить как минимум 2 набора гемокультур из отдельных вен до начала антибиотиков, если это практически возможно и не задерживает лечение. Дополнительные наборы определяются клинической ситуацией и локальным протоколом.</w:t>
      </w:r>
    </w:p>
    <w:p w:rsidR="008243F9" w:rsidRPr="008243F9" w:rsidRDefault="008243F9" w:rsidP="00C37654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Объем крови должен соответствовать типу используемых флаконов и локальному лабораторному протоколу; диагностическая чувствительность гемокультур существенно зависит от адекватного объема образца.</w:t>
      </w:r>
    </w:p>
    <w:p w:rsidR="008243F9" w:rsidRDefault="008243F9" w:rsidP="00C37654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24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Техника:</w:t>
      </w:r>
      <w:r w:rsidRPr="008243F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Использование спиртосодержащих антисептиков (снижают контаминацию эффективнее водных растворов).</w:t>
      </w:r>
    </w:p>
    <w:p w:rsidR="008E327B" w:rsidRPr="008243F9" w:rsidRDefault="008243F9" w:rsidP="00C37654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Другие среды: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Моча, мокрота, ликвор — забор при наличии клинических показаний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Визуализация источника [GPS]: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9"/>
        <w:gridCol w:w="7630"/>
      </w:tblGrid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Локализация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Приоритетные методы визуализации</w:t>
            </w:r>
          </w:p>
        </w:tc>
      </w:tr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Голова/Шея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КТ/МРТ с контрастированием (абсцессы).</w:t>
            </w:r>
          </w:p>
        </w:tc>
      </w:tr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Грудная клетка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Рентгенография, УЗИ, КТ. </w:t>
            </w:r>
            <w:proofErr w:type="spellStart"/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Чреспищеводная</w:t>
            </w:r>
            <w:proofErr w:type="spellEnd"/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 xml:space="preserve"> </w:t>
            </w:r>
            <w:proofErr w:type="spellStart"/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ЭхоКГ</w:t>
            </w:r>
            <w:proofErr w:type="spellEnd"/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— при подозрении на ИЭ у пациентов с протезированными клапанами.</w:t>
            </w:r>
          </w:p>
        </w:tc>
      </w:tr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Брюшная полость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УЗИ (первично), КТ с контрастом (золотой стандарт для ишемии и абсцессов).</w:t>
            </w:r>
          </w:p>
        </w:tc>
      </w:tr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Мягкие ткани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КТ или МРТ (подозрение на </w:t>
            </w:r>
            <w:proofErr w:type="spellStart"/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некротизирующий</w:t>
            </w:r>
            <w:proofErr w:type="spellEnd"/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</w:t>
            </w:r>
            <w:proofErr w:type="spellStart"/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фасциит</w:t>
            </w:r>
            <w:proofErr w:type="spellEnd"/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).</w:t>
            </w:r>
          </w:p>
        </w:tc>
      </w:tr>
    </w:tbl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 xml:space="preserve">Контроль источника инфекции следует выполнять как можно раньше после выявления анатомического очага, требующего вмешательства; при наличии показаний не следует ждать полной гемодинамической стабилизации. SSC 2026 предлагает ранний source control, в </w:t>
      </w:r>
      <w:r>
        <w:rPr>
          <w:rFonts w:ascii="Arial" w:hAnsi="Arial"/>
          <w:sz w:val="21"/>
        </w:rPr>
        <w:lastRenderedPageBreak/>
        <w:t>идеале в течение 6 часов после диагностики сепсиса/септического шока, когда требуется вмешательство.</w:t>
      </w:r>
    </w:p>
    <w:p w:rsidR="008E327B" w:rsidRPr="008E327B" w:rsidRDefault="008E327B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4. Стратегия антимикробной терапии</w:t>
      </w:r>
    </w:p>
    <w:p w:rsidR="008243F9" w:rsidRPr="00105D9F" w:rsidRDefault="008243F9" w:rsidP="00C3765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Антимикробная терапия должна начинаться своевременно после клинической оценки вероятности инфекции. При септическом шоке и высокой вероятности сепсиса антибиотики следует вводить немедленно; при отсутствии шока и неопределенной вероятности инфекции допустим краткий период быстрой диагностической оценки. В 2026 SSC подчеркивается необходимость соотносить срочность терапии с вероятностью инфекции и риском неоправданного применения антибиотиков.</w:t>
      </w:r>
    </w:p>
    <w:p w:rsidR="008243F9" w:rsidRDefault="008243F9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Выбор и тайминг:</w:t>
      </w:r>
    </w:p>
    <w:p w:rsidR="008E327B" w:rsidRPr="008E327B" w:rsidRDefault="008E327B" w:rsidP="00C37654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Микроскопия</w:t>
      </w:r>
      <w:proofErr w:type="gramStart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: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Настоятельно</w:t>
      </w:r>
      <w:proofErr w:type="gram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рекомендуется окраска по </w:t>
      </w:r>
      <w:proofErr w:type="spellStart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Граму</w:t>
      </w:r>
      <w:proofErr w:type="spell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для выбора </w:t>
      </w:r>
      <w:proofErr w:type="spellStart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таргетной</w:t>
      </w:r>
      <w:proofErr w:type="spell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эмпирической терапии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[GRADE 2C]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Оптимизация дозирования и TDM: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Использование PK/PD-подхода обязательно для достижения терапевтических концентраций в условиях </w:t>
      </w:r>
      <w:proofErr w:type="spellStart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гипердинамики</w:t>
      </w:r>
      <w:proofErr w:type="spell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и отечного синдрома.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5918"/>
        <w:gridCol w:w="983"/>
      </w:tblGrid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Стратегия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Рекомендация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GRADE</w:t>
            </w:r>
          </w:p>
        </w:tc>
      </w:tr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β-лактамы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Длительная или постоянная инфузия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2B</w:t>
            </w:r>
          </w:p>
        </w:tc>
      </w:tr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spellStart"/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Гликопептиды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spellStart"/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Болюсное</w:t>
            </w:r>
            <w:proofErr w:type="spellEnd"/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введение (против длительной инфузии)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2C</w:t>
            </w:r>
          </w:p>
        </w:tc>
      </w:tr>
      <w:tr w:rsidR="008E327B" w:rsidRPr="008E327B" w:rsidTr="008E32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TDM (мониторинг)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spellStart"/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Suggested</w:t>
            </w:r>
            <w:proofErr w:type="spellEnd"/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, особенно для </w:t>
            </w:r>
            <w:proofErr w:type="spellStart"/>
            <w:r w:rsidRPr="008E32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Ванкомицина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27B" w:rsidRPr="008E327B" w:rsidRDefault="008E327B" w:rsidP="00C3765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8E3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2D</w:t>
            </w:r>
          </w:p>
        </w:tc>
      </w:tr>
    </w:tbl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Деэскалация</w:t>
      </w:r>
      <w:proofErr w:type="spellEnd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и прекращение:</w:t>
      </w:r>
    </w:p>
    <w:p w:rsidR="008E327B" w:rsidRPr="008E327B" w:rsidRDefault="008E327B" w:rsidP="00C37654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После получения результатов микробиологии необходимо ежедневно пересматривать эмпирическую терапию и, при возможности, проводить деэскалацию до более узкого спектра или отменять ненужные препараты.</w:t>
      </w:r>
    </w:p>
    <w:p w:rsidR="008E327B" w:rsidRPr="008E327B" w:rsidRDefault="008E327B" w:rsidP="00C37654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Прокальцитонин не должен быть единственным или «ключевым» триггером прекращения антибиотиков. Решение о прекращении терапии должно основываться прежде всего на клиническом ответе, контроле источника и микробиологических данных; PCT может использоваться как дополнительный инструмент в условиях, где его применение включено в локальную стратегию antimicrobial stewardship.</w:t>
      </w:r>
    </w:p>
    <w:p w:rsidR="008E327B" w:rsidRDefault="008E327B" w:rsidP="00C37654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Длительность антибиотикотерапии должна определяться очагом инфекции, возбудителем, контролем источника, клиническим ответом и иммунным статусом пациента. Универсальное правило «≤7 дней для большинства очагов» в протоколе устанавливать не следует.</w:t>
      </w:r>
    </w:p>
    <w:p w:rsidR="00850F7F" w:rsidRPr="00105D9F" w:rsidRDefault="00850F7F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he-IL"/>
        </w:rPr>
        <w:t>Антибиотики — только часть лечения; контроль источника (дренирование, удаление катетера) проводится немедленно после стабилизации (GPS).</w:t>
      </w:r>
    </w:p>
    <w:p w:rsidR="00850F7F" w:rsidRPr="008E327B" w:rsidRDefault="00850F7F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Pr="008E327B" w:rsidRDefault="008E327B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5. Начальная реанимация и гемодинамика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lastRenderedPageBreak/>
        <w:t>Мониторинг перфузии:</w:t>
      </w:r>
    </w:p>
    <w:p w:rsidR="008E327B" w:rsidRPr="008E327B" w:rsidRDefault="008E327B" w:rsidP="00C37654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Лактат и CRT являются дополнительными маркерами перфузии и должны интерпретироваться в контексте клинической картины. Они не являются взаимозаменяемыми и не должны рассматриваться как равнозначные показатели.</w:t>
      </w:r>
    </w:p>
    <w:p w:rsidR="008E327B" w:rsidRDefault="008E327B" w:rsidP="00C37654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Ультразвуковая оценка сердца и легких полезна для определения причин шока, оценки функции сердца и уточнения гемодинамического фенотипа, когда доступна соответствующая экспертиза. Формулировку «MUST» следует заменить на рекомендацию, учитывающую доступность метода и клиническую ситуацию.</w:t>
      </w:r>
    </w:p>
    <w:p w:rsidR="00850F7F" w:rsidRPr="00105D9F" w:rsidRDefault="00850F7F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Целевые показатели и выбор растворов</w:t>
      </w:r>
    </w:p>
    <w:p w:rsidR="00850F7F" w:rsidRPr="00105D9F" w:rsidRDefault="00850F7F" w:rsidP="00C37654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Для взрослых с септическим шоком начальная целевая MAP обычно составляет около 65 мм рт. ст.; дальнейшая индивидуализация зависит от возраста, хронической гипертензии, особенностей сосудистого тонуса и клинической перфузии. Перфузию следует оценивать комплексно: CRT, динамика лактата, диурез, сознание, температура/периферическая перфузия и другие доступные показатели.</w:t>
      </w:r>
    </w:p>
    <w:p w:rsidR="00850F7F" w:rsidRPr="00105D9F" w:rsidRDefault="00850F7F" w:rsidP="00C37654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Кристаллоиды: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Используйте </w:t>
      </w: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сбалансированные растворы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вместо физраствора (GRADE 2C) для профилактики </w:t>
      </w:r>
      <w:proofErr w:type="spellStart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гиперхлоремического</w:t>
      </w:r>
      <w:proofErr w:type="spellEnd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ацидоза.</w:t>
      </w:r>
    </w:p>
    <w:p w:rsidR="00850F7F" w:rsidRPr="00105D9F" w:rsidRDefault="00850F7F" w:rsidP="00C37654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Альбумин (4–5%):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Рекомендован при потребности в больших объемах кристаллоидов (GRADE 2B).</w:t>
      </w:r>
    </w:p>
    <w:p w:rsidR="00850F7F" w:rsidRPr="00105D9F" w:rsidRDefault="00850F7F" w:rsidP="00C37654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Коллоиды: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Синтетические коллоиды (ГЭК) </w:t>
      </w: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категорически запрещены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(GRADE 1B).</w:t>
      </w:r>
    </w:p>
    <w:p w:rsidR="00850F7F" w:rsidRPr="008E327B" w:rsidRDefault="00850F7F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Инфузионная терапия:</w:t>
      </w:r>
    </w:p>
    <w:p w:rsidR="008E327B" w:rsidRPr="008E327B" w:rsidRDefault="008E327B" w:rsidP="00C3765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Начальная инфузионная терапия: при сепсис-индуцированной гипоперфузии или септическом шоке SSC 2026 предлагает не менее 30 мл/кг внутривенных кристаллоидов в первые 3 часа, с индивидуализацией объема по клиническому контексту и частой переоценкой. После начального болюса дальнейшая инфузия должна основываться на динамической оценке ответа на жидкость и признаках перфузии, с постоянным учетом риска перегрузки жидкостью.</w:t>
      </w:r>
    </w:p>
    <w:p w:rsidR="008E327B" w:rsidRPr="008E327B" w:rsidRDefault="008E327B" w:rsidP="00C37654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Выбор: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Сбалансированные кристаллоиды предпочтительнее физраствора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[GRADE 2C]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Pr="008E327B" w:rsidRDefault="008E327B" w:rsidP="00C37654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Альбумин (4-5%)</w:t>
      </w:r>
      <w:proofErr w:type="gramStart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: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Вводится</w:t>
      </w:r>
      <w:proofErr w:type="gram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только в случае необходимости в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больших объемах кристаллоидов [GRADE 2B]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Default="008E327B" w:rsidP="00C37654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Запрет: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Синтетические коллоиды (ГЭК)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противопоказаны [GRADE 1B]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50F7F" w:rsidRPr="00105D9F" w:rsidRDefault="00850F7F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he-IL"/>
        </w:rPr>
        <w:t xml:space="preserve">Если инфузия не обеспечивает MAP ≥ 65 мм рт. ст., немедленно подключайте </w:t>
      </w:r>
      <w:proofErr w:type="spellStart"/>
      <w:r w:rsidRPr="00105D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he-IL"/>
        </w:rPr>
        <w:t>вазопрессоры</w:t>
      </w:r>
      <w:proofErr w:type="spellEnd"/>
      <w:r w:rsidRPr="00105D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he-IL"/>
        </w:rPr>
        <w:t>.</w:t>
      </w:r>
    </w:p>
    <w:p w:rsidR="00850F7F" w:rsidRPr="008E327B" w:rsidRDefault="00850F7F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Вазопрессорная поддержка:</w:t>
      </w:r>
    </w:p>
    <w:p w:rsidR="008E327B" w:rsidRPr="008E327B" w:rsidRDefault="008E327B" w:rsidP="00C37654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Целевой MAP: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65 мм рт. ст. [GRADE 2C]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Pr="008E327B" w:rsidRDefault="008E327B" w:rsidP="00C37654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Иерархия препаратов:</w:t>
      </w:r>
    </w:p>
    <w:p w:rsidR="008E327B" w:rsidRPr="008E327B" w:rsidRDefault="008E327B" w:rsidP="00C37654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lastRenderedPageBreak/>
        <w:t xml:space="preserve">1-я линия: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Норадреналин [GRADE 2D]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Pr="008E327B" w:rsidRDefault="008E327B" w:rsidP="00C37654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2-я линия: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Вазопрессин [GRADE 2A]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Default="008E327B" w:rsidP="00C37654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Раннее начало </w:t>
      </w:r>
      <w:proofErr w:type="spellStart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вазопрессоров</w:t>
      </w:r>
      <w:proofErr w:type="spell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(параллельно с инфузией) предпочтительнее при выраженной гипотензии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[GRADE 2C]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Pr="008E327B" w:rsidRDefault="008E327B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 xml:space="preserve">6. </w:t>
      </w:r>
      <w:proofErr w:type="spellStart"/>
      <w:r w:rsidRPr="008E327B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Адъювантная</w:t>
      </w:r>
      <w:proofErr w:type="spellEnd"/>
      <w:r w:rsidRPr="008E327B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 xml:space="preserve"> терапия</w:t>
      </w:r>
    </w:p>
    <w:p w:rsidR="008E327B" w:rsidRPr="008E327B" w:rsidRDefault="008E327B" w:rsidP="00C37654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Системные кортикостероиды следует рассматривать у взрослых с септическим шоком; типичная схема — гидрокортизон 200 мг/сут внутривенно. Конкретное начало терапии должно учитывать сохраняющуюся потребность в вазопрессорах и клиническую тяжесть. Высокодозные короткие курсы не рекомендуются.</w:t>
      </w:r>
    </w:p>
    <w:p w:rsidR="008E327B" w:rsidRPr="008E327B" w:rsidRDefault="008E327B" w:rsidP="00C37654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Гликемический контроль: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Целевой диапазон </w:t>
      </w:r>
      <w:r w:rsidR="00A918D0">
        <w:rPr>
          <w:rStyle w:val="a4"/>
        </w:rPr>
        <w:t xml:space="preserve">7,8–10,0 </w:t>
      </w:r>
      <w:proofErr w:type="spellStart"/>
      <w:r w:rsidR="00A918D0">
        <w:rPr>
          <w:rStyle w:val="a4"/>
        </w:rPr>
        <w:t>ммоль</w:t>
      </w:r>
      <w:proofErr w:type="spellEnd"/>
      <w:r w:rsidR="00A918D0">
        <w:rPr>
          <w:rStyle w:val="a4"/>
        </w:rPr>
        <w:t>/л</w:t>
      </w:r>
      <w:r w:rsidR="00A918D0">
        <w:t>.</w:t>
      </w:r>
      <w:r w:rsidR="00A918D0"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[GRADE 2C]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 Избегать жесткого контроля</w:t>
      </w:r>
      <w:bookmarkStart w:id="0" w:name="_GoBack"/>
      <w:bookmarkEnd w:id="0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из-за риска гипогликемии.</w:t>
      </w:r>
    </w:p>
    <w:p w:rsidR="008E327B" w:rsidRDefault="008E327B" w:rsidP="00C37654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Гемотрансфузия :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Порог </w:t>
      </w:r>
      <w:proofErr w:type="spellStart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Hb</w:t>
      </w:r>
      <w:proofErr w:type="spell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&lt; 7 г/</w:t>
      </w:r>
      <w:proofErr w:type="spellStart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дл</w:t>
      </w:r>
      <w:proofErr w:type="spellEnd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[GRADE 2C]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(за исключением случаев активного кровотечения или ишемии миокарда).</w:t>
      </w:r>
    </w:p>
    <w:p w:rsidR="00850F7F" w:rsidRPr="00850F7F" w:rsidRDefault="00850F7F" w:rsidP="00C37654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Профилактика стрессовых язв показана пациентам с факторами риска желудочно-кишечного кровотечения; рутинно назначать ее всем пациентам с сепсисом не следует.</w:t>
      </w:r>
    </w:p>
    <w:p w:rsidR="00850F7F" w:rsidRPr="00850F7F" w:rsidRDefault="00850F7F" w:rsidP="00C37654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Антипиретическая терапия не должна применяться рутинно с целью улучшения исходов сепсиса. Она может использоваться для контроля симптомов или при специальных клинических показаниях.</w:t>
      </w:r>
    </w:p>
    <w:p w:rsidR="00850F7F" w:rsidRPr="00105D9F" w:rsidRDefault="00850F7F" w:rsidP="00C37654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he-IL"/>
        </w:rPr>
        <w:t>7. Особенности интенсивной терапии в педиатрии</w:t>
      </w:r>
    </w:p>
    <w:p w:rsidR="00850F7F" w:rsidRPr="00105D9F" w:rsidRDefault="00850F7F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Детский протокол требует высокой динамичности и осторожности в объемах.</w:t>
      </w:r>
    </w:p>
    <w:p w:rsidR="00850F7F" w:rsidRPr="00105D9F" w:rsidRDefault="00850F7F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 xml:space="preserve">Ключевые </w:t>
      </w:r>
      <w:r w:rsidR="004B0FD2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моменты</w:t>
      </w:r>
      <w:r w:rsidRPr="00105D9F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  <w:t>:</w:t>
      </w:r>
    </w:p>
    <w:p w:rsidR="00850F7F" w:rsidRPr="00105D9F" w:rsidRDefault="00850F7F" w:rsidP="00C37654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Инфузия: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Болюсы по </w:t>
      </w: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10–20 мл/кг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 немедленной оценкой ответа. При признаках сердечной недостаточности — уменьшение объема и скорости.</w:t>
      </w:r>
    </w:p>
    <w:p w:rsidR="00850F7F" w:rsidRPr="00105D9F" w:rsidRDefault="00850F7F" w:rsidP="00C37654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Доступ</w:t>
      </w:r>
      <w:proofErr w:type="gramStart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: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Не</w:t>
      </w:r>
      <w:proofErr w:type="gramEnd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задерживайте начало терапии для постановки ЦВК.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Вазопрессоры</w:t>
      </w:r>
      <w:proofErr w:type="spellEnd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(адреналин/норадреналин) допустимо вводить через периферическую вену или </w:t>
      </w:r>
      <w:proofErr w:type="spellStart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внутрикостно</w:t>
      </w:r>
      <w:proofErr w:type="spellEnd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в соответствующих концентрациях на короткий период.</w:t>
      </w:r>
    </w:p>
    <w:p w:rsidR="00850F7F" w:rsidRPr="00105D9F" w:rsidRDefault="00850F7F" w:rsidP="00C37654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Выбор </w:t>
      </w:r>
      <w:proofErr w:type="spellStart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вазопрессора</w:t>
      </w:r>
      <w:proofErr w:type="spellEnd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: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Индивидуализирован на основе </w:t>
      </w:r>
      <w:proofErr w:type="spellStart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ЭхоКГ</w:t>
      </w:r>
      <w:proofErr w:type="spellEnd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(адреналин или норадреналин).</w:t>
      </w:r>
    </w:p>
    <w:p w:rsidR="00850F7F" w:rsidRPr="00105D9F" w:rsidRDefault="00850F7F" w:rsidP="00C37654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Стероиды</w:t>
      </w:r>
      <w:proofErr w:type="gramStart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: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Против</w:t>
      </w:r>
      <w:proofErr w:type="gramEnd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рутинного использования (GRADE 2D).</w:t>
      </w:r>
    </w:p>
    <w:p w:rsidR="00850F7F" w:rsidRPr="00105D9F" w:rsidRDefault="00850F7F" w:rsidP="00C37654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Трансфузия:</w:t>
      </w:r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Порог гемоглобина </w:t>
      </w:r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&lt; 7.0 г/</w:t>
      </w:r>
      <w:proofErr w:type="spellStart"/>
      <w:r w:rsidRPr="00105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дл</w:t>
      </w:r>
      <w:proofErr w:type="spellEnd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для </w:t>
      </w:r>
      <w:proofErr w:type="spellStart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гемодинамически</w:t>
      </w:r>
      <w:proofErr w:type="spellEnd"/>
      <w:r w:rsidRPr="00105D9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стабильных детей (GRADE 2C).</w:t>
      </w:r>
    </w:p>
    <w:p w:rsidR="00850F7F" w:rsidRPr="00105D9F" w:rsidRDefault="00850F7F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105D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he-IL"/>
        </w:rPr>
        <w:t>Мультидисциплинарный подход и вовлечение семьи являются обязательными элементами профилактики пост-реанимационного синдрома (PICS-F).</w:t>
      </w:r>
    </w:p>
    <w:p w:rsidR="00850F7F" w:rsidRPr="008E327B" w:rsidRDefault="00850F7F" w:rsidP="00C37654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Pr="008E327B" w:rsidRDefault="008E327B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>
        <w:rPr>
          <w:rFonts w:ascii="Arial" w:hAnsi="Arial"/>
          <w:sz w:val="21"/>
        </w:rPr>
        <w:t>8. Экстракорпоральные методы и коагулопатия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Заместительная почечная терапия (RRT):</w:t>
      </w:r>
    </w:p>
    <w:p w:rsidR="008E327B" w:rsidRPr="008E327B" w:rsidRDefault="008E327B" w:rsidP="00C37654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lastRenderedPageBreak/>
        <w:t xml:space="preserve">Против раннего начала RRT при отсутствии экстренных показаний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[GRADE 2C]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Pr="008E327B" w:rsidRDefault="008E327B" w:rsidP="00C37654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При проведении непрерывной заместительной почечной терапии стандартная доза доставленной эффлюентной терапии обычно составляет 20–25 мл/кг/ч; более высокие интенсивности не показали преимущества по исходам. Назначение следует адаптировать к клинической ситуации и фактически доставленной дозе.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ДВС-синдром</w:t>
      </w:r>
      <w:proofErr w:type="gramStart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: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Необходимо</w:t>
      </w:r>
      <w:proofErr w:type="gram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четко дифференцировать цели диагностики:</w:t>
      </w:r>
    </w:p>
    <w:p w:rsidR="008E327B" w:rsidRDefault="008E327B" w:rsidP="00C37654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JAAM-DIC</w:t>
      </w:r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(</w:t>
      </w:r>
      <w:proofErr w:type="spellStart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Japanese</w:t>
      </w:r>
      <w:proofErr w:type="spellEnd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Association</w:t>
      </w:r>
      <w:proofErr w:type="spellEnd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for</w:t>
      </w:r>
      <w:proofErr w:type="spellEnd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Acute</w:t>
      </w:r>
      <w:proofErr w:type="spellEnd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Medicine</w:t>
      </w:r>
      <w:proofErr w:type="spellEnd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DIC)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и SIC</w:t>
      </w:r>
      <w:r w:rsidR="004B0FD2" w:rsidRPr="004B0FD2">
        <w:rPr>
          <w:rFonts w:ascii="Arial" w:hAnsi="Arial"/>
          <w:sz w:val="21"/>
        </w:rPr>
        <w:t xml:space="preserve"> </w:t>
      </w:r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(</w:t>
      </w:r>
      <w:proofErr w:type="spellStart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Sepsis-Induced</w:t>
      </w:r>
      <w:proofErr w:type="spellEnd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Coagulopathy</w:t>
      </w:r>
      <w:proofErr w:type="spellEnd"/>
      <w:r w:rsidR="004B0FD2" w:rsidRP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)</w:t>
      </w:r>
      <w:r w:rsidR="004B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</w:t>
      </w:r>
      <w:proofErr w:type="gramStart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: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Используются</w:t>
      </w:r>
      <w:proofErr w:type="gram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для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раннего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выявления и начала терапии </w:t>
      </w:r>
      <w:proofErr w:type="spellStart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коагулопатии</w:t>
      </w:r>
      <w:proofErr w:type="spell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.</w:t>
      </w:r>
      <w:r w:rsidR="004B0FD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</w:p>
    <w:p w:rsidR="00C37654" w:rsidRPr="00C37654" w:rsidRDefault="00C37654" w:rsidP="00C37654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 w:bidi="he-IL"/>
        </w:rPr>
      </w:pPr>
      <w:r w:rsidRPr="00C376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en-US" w:eastAsia="ru-RU" w:bidi="he-IL"/>
        </w:rPr>
        <w:t>JAAM-DIC (Japanese Association for Acute Medicine DIC)</w:t>
      </w:r>
    </w:p>
    <w:p w:rsidR="00C37654" w:rsidRPr="00C37654" w:rsidRDefault="00C37654" w:rsidP="00C37654">
      <w:pPr>
        <w:spacing w:after="0" w:line="276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ru-RU" w:bidi="he-IL"/>
        </w:rPr>
      </w:pPr>
      <w:r w:rsidRPr="00C37654">
        <w:rPr>
          <w:rFonts w:ascii="Times New Roman" w:eastAsia="Times New Roman" w:hAnsi="Times New Roman" w:cs="Times New Roman"/>
          <w:color w:val="303030"/>
          <w:sz w:val="24"/>
          <w:szCs w:val="24"/>
          <w:lang w:eastAsia="ru-RU" w:bidi="he-IL"/>
        </w:rPr>
        <w:t xml:space="preserve">Это критерии диагностики диссеминированного внутрисосудистого свертывания (ДВС-синдрома), разработанные </w:t>
      </w:r>
      <w:r w:rsidRPr="00C376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 w:bidi="he-IL"/>
        </w:rPr>
        <w:t>Японской ассоциацией экстренной медицины</w:t>
      </w:r>
      <w:r w:rsidRPr="00C37654">
        <w:rPr>
          <w:rFonts w:ascii="Times New Roman" w:eastAsia="Times New Roman" w:hAnsi="Times New Roman" w:cs="Times New Roman"/>
          <w:color w:val="303030"/>
          <w:sz w:val="24"/>
          <w:szCs w:val="24"/>
          <w:lang w:eastAsia="ru-RU" w:bidi="he-IL"/>
        </w:rPr>
        <w:t>.</w:t>
      </w:r>
    </w:p>
    <w:p w:rsidR="00C37654" w:rsidRPr="00C37654" w:rsidRDefault="00C37654" w:rsidP="00C3765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Google Sans Text" w:eastAsia="Times New Roman" w:hAnsi="Google Sans Text" w:cs="Times New Roman"/>
          <w:color w:val="303030"/>
          <w:sz w:val="21"/>
          <w:szCs w:val="21"/>
          <w:lang w:eastAsia="ru-RU" w:bidi="he-IL"/>
        </w:rPr>
      </w:pPr>
      <w:r w:rsidRPr="00C37654">
        <w:rPr>
          <w:rFonts w:ascii="Google Sans Text" w:eastAsia="Times New Roman" w:hAnsi="Google Sans Text" w:cs="Times New Roman"/>
          <w:b/>
          <w:bCs/>
          <w:color w:val="303030"/>
          <w:sz w:val="21"/>
          <w:szCs w:val="21"/>
          <w:lang w:eastAsia="ru-RU" w:bidi="he-IL"/>
        </w:rPr>
        <w:t>Особенности</w:t>
      </w:r>
      <w:proofErr w:type="gramStart"/>
      <w:r w:rsidRPr="00C37654">
        <w:rPr>
          <w:rFonts w:ascii="Google Sans Text" w:eastAsia="Times New Roman" w:hAnsi="Google Sans Text" w:cs="Times New Roman"/>
          <w:b/>
          <w:bCs/>
          <w:color w:val="303030"/>
          <w:sz w:val="21"/>
          <w:szCs w:val="21"/>
          <w:lang w:eastAsia="ru-RU" w:bidi="he-IL"/>
        </w:rPr>
        <w:t>:</w:t>
      </w:r>
      <w:r w:rsidRPr="00C37654">
        <w:rPr>
          <w:rFonts w:ascii="Google Sans Text" w:eastAsia="Times New Roman" w:hAnsi="Google Sans Text" w:cs="Times New Roman"/>
          <w:color w:val="303030"/>
          <w:sz w:val="21"/>
          <w:szCs w:val="21"/>
          <w:lang w:eastAsia="ru-RU" w:bidi="he-IL"/>
        </w:rPr>
        <w:t xml:space="preserve"> Они</w:t>
      </w:r>
      <w:proofErr w:type="gramEnd"/>
      <w:r w:rsidRPr="00C37654">
        <w:rPr>
          <w:rFonts w:ascii="Google Sans Text" w:eastAsia="Times New Roman" w:hAnsi="Google Sans Text" w:cs="Times New Roman"/>
          <w:color w:val="303030"/>
          <w:sz w:val="21"/>
          <w:szCs w:val="21"/>
          <w:lang w:eastAsia="ru-RU" w:bidi="he-IL"/>
        </w:rPr>
        <w:t xml:space="preserve"> широко применяются в клинической практике Японии и направлены на максимально </w:t>
      </w:r>
      <w:r w:rsidRPr="00C37654">
        <w:rPr>
          <w:rFonts w:ascii="Google Sans Text" w:eastAsia="Times New Roman" w:hAnsi="Google Sans Text" w:cs="Times New Roman"/>
          <w:b/>
          <w:bCs/>
          <w:color w:val="303030"/>
          <w:sz w:val="21"/>
          <w:szCs w:val="21"/>
          <w:lang w:eastAsia="ru-RU" w:bidi="he-IL"/>
        </w:rPr>
        <w:t>чувствительное выявление</w:t>
      </w:r>
      <w:r w:rsidRPr="00C37654">
        <w:rPr>
          <w:rFonts w:ascii="Google Sans Text" w:eastAsia="Times New Roman" w:hAnsi="Google Sans Text" w:cs="Times New Roman"/>
          <w:color w:val="303030"/>
          <w:sz w:val="21"/>
          <w:szCs w:val="21"/>
          <w:lang w:eastAsia="ru-RU" w:bidi="he-IL"/>
        </w:rPr>
        <w:t xml:space="preserve"> коагуляционных нарушений, вызванных воспалением.</w:t>
      </w:r>
    </w:p>
    <w:p w:rsidR="00C37654" w:rsidRPr="00C37654" w:rsidRDefault="00C37654" w:rsidP="00C3765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Google Sans Text" w:eastAsia="Times New Roman" w:hAnsi="Google Sans Text" w:cs="Times New Roman"/>
          <w:color w:val="303030"/>
          <w:sz w:val="21"/>
          <w:szCs w:val="21"/>
          <w:lang w:eastAsia="ru-RU" w:bidi="he-IL"/>
        </w:rPr>
      </w:pPr>
      <w:r w:rsidRPr="00C37654">
        <w:rPr>
          <w:rFonts w:ascii="Google Sans Text" w:eastAsia="Times New Roman" w:hAnsi="Google Sans Text" w:cs="Times New Roman"/>
          <w:b/>
          <w:bCs/>
          <w:color w:val="303030"/>
          <w:sz w:val="21"/>
          <w:szCs w:val="21"/>
          <w:lang w:eastAsia="ru-RU" w:bidi="he-IL"/>
        </w:rPr>
        <w:t>Состав</w:t>
      </w:r>
      <w:proofErr w:type="gramStart"/>
      <w:r w:rsidRPr="00C37654">
        <w:rPr>
          <w:rFonts w:ascii="Google Sans Text" w:eastAsia="Times New Roman" w:hAnsi="Google Sans Text" w:cs="Times New Roman"/>
          <w:b/>
          <w:bCs/>
          <w:color w:val="303030"/>
          <w:sz w:val="21"/>
          <w:szCs w:val="21"/>
          <w:lang w:eastAsia="ru-RU" w:bidi="he-IL"/>
        </w:rPr>
        <w:t>:</w:t>
      </w:r>
      <w:r w:rsidRPr="00C37654">
        <w:rPr>
          <w:rFonts w:ascii="Google Sans Text" w:eastAsia="Times New Roman" w:hAnsi="Google Sans Text" w:cs="Times New Roman"/>
          <w:color w:val="303030"/>
          <w:sz w:val="21"/>
          <w:szCs w:val="21"/>
          <w:lang w:eastAsia="ru-RU" w:bidi="he-IL"/>
        </w:rPr>
        <w:t xml:space="preserve"> Включают</w:t>
      </w:r>
      <w:proofErr w:type="gramEnd"/>
      <w:r w:rsidRPr="00C37654">
        <w:rPr>
          <w:rFonts w:ascii="Google Sans Text" w:eastAsia="Times New Roman" w:hAnsi="Google Sans Text" w:cs="Times New Roman"/>
          <w:color w:val="303030"/>
          <w:sz w:val="21"/>
          <w:szCs w:val="21"/>
          <w:lang w:eastAsia="ru-RU" w:bidi="he-IL"/>
        </w:rPr>
        <w:t xml:space="preserve"> оценку по шкале </w:t>
      </w:r>
      <w:r w:rsidRPr="00C37654">
        <w:rPr>
          <w:rFonts w:ascii="Google Sans Text" w:eastAsia="Times New Roman" w:hAnsi="Google Sans Text" w:cs="Times New Roman"/>
          <w:b/>
          <w:bCs/>
          <w:color w:val="303030"/>
          <w:sz w:val="21"/>
          <w:szCs w:val="21"/>
          <w:lang w:eastAsia="ru-RU" w:bidi="he-IL"/>
        </w:rPr>
        <w:t>SIRS</w:t>
      </w:r>
      <w:r w:rsidRPr="00C37654">
        <w:rPr>
          <w:rFonts w:ascii="Google Sans Text" w:eastAsia="Times New Roman" w:hAnsi="Google Sans Text" w:cs="Times New Roman"/>
          <w:color w:val="303030"/>
          <w:sz w:val="21"/>
          <w:szCs w:val="21"/>
          <w:lang w:eastAsia="ru-RU" w:bidi="he-IL"/>
        </w:rPr>
        <w:t>, количество тромбоцитов (а также скорость их снижения во времени) и уровень продуктов деградации фибрина (FDP)</w:t>
      </w:r>
    </w:p>
    <w:p w:rsidR="00C37654" w:rsidRDefault="00C37654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C37654" w:rsidRPr="00C37654" w:rsidRDefault="00C37654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C3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Сепсис-индуцированная </w:t>
      </w:r>
      <w:proofErr w:type="spellStart"/>
      <w:r w:rsidRPr="00C3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коагулопатия</w:t>
      </w:r>
      <w:proofErr w:type="spellEnd"/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— это более современная система критериев, разработанная специально для выявления нарушений свертываемости именно при сепсисе.</w:t>
      </w:r>
    </w:p>
    <w:p w:rsidR="00C37654" w:rsidRPr="00C37654" w:rsidRDefault="00C37654" w:rsidP="00C37654">
      <w:pPr>
        <w:numPr>
          <w:ilvl w:val="0"/>
          <w:numId w:val="2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C3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Связь с Sepsis-3:</w:t>
      </w:r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Эти критерии были созданы, чтобы соответствовать переходу международного определения сепсиса от шкалы SIRS к шкале </w:t>
      </w:r>
      <w:r w:rsidRPr="00C3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SOFA</w:t>
      </w:r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C37654" w:rsidRPr="00C37654" w:rsidRDefault="00C37654" w:rsidP="00C37654">
      <w:pPr>
        <w:numPr>
          <w:ilvl w:val="0"/>
          <w:numId w:val="2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C3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Состав</w:t>
      </w:r>
      <w:proofErr w:type="gramStart"/>
      <w:r w:rsidRPr="00C3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:</w:t>
      </w:r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Для</w:t>
      </w:r>
      <w:proofErr w:type="gramEnd"/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постановки диагноза SIC используются три параметра:</w:t>
      </w:r>
    </w:p>
    <w:p w:rsidR="00C37654" w:rsidRPr="00C37654" w:rsidRDefault="00C37654" w:rsidP="00C37654">
      <w:pPr>
        <w:numPr>
          <w:ilvl w:val="1"/>
          <w:numId w:val="2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Количество </w:t>
      </w:r>
      <w:r w:rsidRPr="00C3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тромбоцитов</w:t>
      </w:r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C37654" w:rsidRPr="00C37654" w:rsidRDefault="00C37654" w:rsidP="00C37654">
      <w:pPr>
        <w:numPr>
          <w:ilvl w:val="1"/>
          <w:numId w:val="2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Протромбиновое</w:t>
      </w:r>
      <w:proofErr w:type="spellEnd"/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время (</w:t>
      </w:r>
      <w:r w:rsidRPr="00C3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МНО/INR</w:t>
      </w:r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).</w:t>
      </w:r>
    </w:p>
    <w:p w:rsidR="00C37654" w:rsidRPr="00C37654" w:rsidRDefault="00C37654" w:rsidP="00C37654">
      <w:pPr>
        <w:numPr>
          <w:ilvl w:val="1"/>
          <w:numId w:val="2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Сумма баллов по шкале </w:t>
      </w:r>
      <w:r w:rsidRPr="00C3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SOFA</w:t>
      </w:r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C37654" w:rsidRPr="00C37654" w:rsidRDefault="00C37654" w:rsidP="00C37654">
      <w:pPr>
        <w:numPr>
          <w:ilvl w:val="0"/>
          <w:numId w:val="2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C3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Дополнительные маркеры:</w:t>
      </w:r>
      <w:r w:rsidRPr="00C37654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Важным признаком развития SIC также считается снижение активности антитромбина III (менее 59,7%)</w:t>
      </w:r>
    </w:p>
    <w:p w:rsidR="00C37654" w:rsidRDefault="00C37654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4B0FD2" w:rsidRPr="008E327B" w:rsidRDefault="004B0FD2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8E327B" w:rsidRDefault="008E327B" w:rsidP="00C37654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ISTH overt DIC используется для диагностики явного ДВС-синдрома; его клиническое значение не следует ограничивать только прогнозированием летальности.</w:t>
      </w:r>
    </w:p>
    <w:p w:rsidR="00C37654" w:rsidRPr="00C37654" w:rsidRDefault="00C37654" w:rsidP="00C37654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</w:pPr>
      <w:r w:rsidRPr="00C37654">
        <w:rPr>
          <w:rFonts w:ascii="Times New Roman" w:eastAsia="Times New Roman" w:hAnsi="Times New Roman" w:cs="Times New Roman"/>
          <w:b/>
          <w:bCs/>
          <w:i/>
          <w:iCs/>
          <w:color w:val="303030"/>
          <w:sz w:val="20"/>
          <w:szCs w:val="20"/>
          <w:lang w:eastAsia="ru-RU" w:bidi="he-IL"/>
        </w:rPr>
        <w:t xml:space="preserve">ISTH </w:t>
      </w:r>
      <w:proofErr w:type="spellStart"/>
      <w:r w:rsidRPr="00C37654">
        <w:rPr>
          <w:rFonts w:ascii="Times New Roman" w:eastAsia="Times New Roman" w:hAnsi="Times New Roman" w:cs="Times New Roman"/>
          <w:b/>
          <w:bCs/>
          <w:i/>
          <w:iCs/>
          <w:color w:val="303030"/>
          <w:sz w:val="20"/>
          <w:szCs w:val="20"/>
          <w:lang w:eastAsia="ru-RU" w:bidi="he-IL"/>
        </w:rPr>
        <w:t>overt</w:t>
      </w:r>
      <w:proofErr w:type="spellEnd"/>
      <w:r w:rsidRPr="00C37654">
        <w:rPr>
          <w:rFonts w:ascii="Times New Roman" w:eastAsia="Times New Roman" w:hAnsi="Times New Roman" w:cs="Times New Roman"/>
          <w:b/>
          <w:bCs/>
          <w:i/>
          <w:iCs/>
          <w:color w:val="303030"/>
          <w:sz w:val="20"/>
          <w:szCs w:val="20"/>
          <w:lang w:eastAsia="ru-RU" w:bidi="he-IL"/>
        </w:rPr>
        <w:t xml:space="preserve"> DIC</w:t>
      </w:r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 xml:space="preserve"> — это международная система критериев для диагностики </w:t>
      </w:r>
      <w:r w:rsidRPr="00C37654">
        <w:rPr>
          <w:rFonts w:ascii="Times New Roman" w:eastAsia="Times New Roman" w:hAnsi="Times New Roman" w:cs="Times New Roman"/>
          <w:b/>
          <w:bCs/>
          <w:i/>
          <w:iCs/>
          <w:color w:val="303030"/>
          <w:sz w:val="20"/>
          <w:szCs w:val="20"/>
          <w:lang w:eastAsia="ru-RU" w:bidi="he-IL"/>
        </w:rPr>
        <w:t>явного (прогрессирующего)</w:t>
      </w:r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 xml:space="preserve"> диссеминированного внутрисосудистого свертывания (ДВС-синдрома), разработанная Международным обществом по тромбозу и гемостазу (</w:t>
      </w:r>
      <w:proofErr w:type="spellStart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>International</w:t>
      </w:r>
      <w:proofErr w:type="spellEnd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 xml:space="preserve"> </w:t>
      </w:r>
      <w:proofErr w:type="spellStart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>Society</w:t>
      </w:r>
      <w:proofErr w:type="spellEnd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 xml:space="preserve"> </w:t>
      </w:r>
      <w:proofErr w:type="spellStart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>on</w:t>
      </w:r>
      <w:proofErr w:type="spellEnd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 xml:space="preserve"> </w:t>
      </w:r>
      <w:proofErr w:type="spellStart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>Thrombosis</w:t>
      </w:r>
      <w:proofErr w:type="spellEnd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 xml:space="preserve"> </w:t>
      </w:r>
      <w:proofErr w:type="spellStart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>and</w:t>
      </w:r>
      <w:proofErr w:type="spellEnd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 xml:space="preserve"> </w:t>
      </w:r>
      <w:proofErr w:type="spellStart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>Hemostasis</w:t>
      </w:r>
      <w:proofErr w:type="spellEnd"/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>).</w:t>
      </w:r>
    </w:p>
    <w:p w:rsidR="00C37654" w:rsidRPr="00C37654" w:rsidRDefault="00C37654" w:rsidP="00C37654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</w:pPr>
      <w:r w:rsidRPr="00C37654">
        <w:rPr>
          <w:rFonts w:ascii="Times New Roman" w:eastAsia="Times New Roman" w:hAnsi="Times New Roman" w:cs="Times New Roman"/>
          <w:i/>
          <w:iCs/>
          <w:color w:val="303030"/>
          <w:sz w:val="20"/>
          <w:szCs w:val="20"/>
          <w:lang w:eastAsia="ru-RU" w:bidi="he-IL"/>
        </w:rPr>
        <w:t>Основные характеристики этой системы согласно источникам:</w:t>
      </w:r>
    </w:p>
    <w:p w:rsidR="00C37654" w:rsidRPr="00C37654" w:rsidRDefault="00C37654" w:rsidP="00C3765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</w:pP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lastRenderedPageBreak/>
        <w:t>Назначение</w:t>
      </w:r>
      <w:proofErr w:type="gramStart"/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:</w:t>
      </w: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В отличие от</w:t>
      </w:r>
      <w:proofErr w:type="gramEnd"/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шкал SIC или JAAM-DIC, которые ориентированы на раннее выявление нарушений, критерии ISTH </w:t>
      </w:r>
      <w:proofErr w:type="spellStart"/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>overt</w:t>
      </w:r>
      <w:proofErr w:type="spellEnd"/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DIC используются для диагностики уже </w:t>
      </w: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далеко зашедшего (декомпенсированного)</w:t>
      </w: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ДВС-синдрома и </w:t>
      </w: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прогнозирования летальности</w:t>
      </w: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>.</w:t>
      </w:r>
    </w:p>
    <w:p w:rsidR="00C37654" w:rsidRPr="00C37654" w:rsidRDefault="00C37654" w:rsidP="00C3765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</w:pP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Строгость критериев:</w:t>
      </w: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Эта шкала более строгая, чем японские аналоги (JAAM-DIC или SIC). Ее строгость позволяет </w:t>
      </w: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избежать гипердиагностики</w:t>
      </w: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и точно идентифицировать наиболее тяжелые случаи нарушений свертываемости.</w:t>
      </w:r>
    </w:p>
    <w:p w:rsidR="00C37654" w:rsidRPr="00C37654" w:rsidRDefault="00C37654" w:rsidP="00C3765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</w:pP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Диагностические параметры</w:t>
      </w:r>
      <w:proofErr w:type="gramStart"/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:</w:t>
      </w: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Для</w:t>
      </w:r>
      <w:proofErr w:type="gramEnd"/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постановки диагноза по этой системе требуется оценка следующих показателей:</w:t>
      </w:r>
    </w:p>
    <w:p w:rsidR="00C37654" w:rsidRPr="00C37654" w:rsidRDefault="00C37654" w:rsidP="00C37654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276" w:lineRule="auto"/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</w:pP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Количество </w:t>
      </w: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тромбоцитов</w:t>
      </w: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>.</w:t>
      </w:r>
    </w:p>
    <w:p w:rsidR="00C37654" w:rsidRPr="00C37654" w:rsidRDefault="00C37654" w:rsidP="00C37654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276" w:lineRule="auto"/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</w:pPr>
      <w:proofErr w:type="spellStart"/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>Протромбиновое</w:t>
      </w:r>
      <w:proofErr w:type="spellEnd"/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время (</w:t>
      </w: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МНО/INR</w:t>
      </w: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>).</w:t>
      </w:r>
    </w:p>
    <w:p w:rsidR="00C37654" w:rsidRPr="00C37654" w:rsidRDefault="00C37654" w:rsidP="00C37654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276" w:lineRule="auto"/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</w:pP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Уровень </w:t>
      </w: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D-</w:t>
      </w:r>
      <w:proofErr w:type="spellStart"/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димера</w:t>
      </w:r>
      <w:proofErr w:type="spellEnd"/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или продуктов деградации фибрина (ПДФ).</w:t>
      </w:r>
    </w:p>
    <w:p w:rsidR="00C37654" w:rsidRPr="00C37654" w:rsidRDefault="00C37654" w:rsidP="00C37654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276" w:lineRule="auto"/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</w:pP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Уровень </w:t>
      </w: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фибриногена</w:t>
      </w: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>.</w:t>
      </w:r>
    </w:p>
    <w:p w:rsidR="00C37654" w:rsidRPr="00C37654" w:rsidRDefault="00C37654" w:rsidP="00C3765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</w:pP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Место в алгоритме:</w:t>
      </w: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В современной практике (в частности, согласно российскому руководству 2026 года) рекомендуется </w:t>
      </w:r>
      <w:r w:rsidRPr="00C37654">
        <w:rPr>
          <w:rFonts w:ascii="Google Sans Text" w:eastAsia="Times New Roman" w:hAnsi="Google Sans Text" w:cs="Times New Roman"/>
          <w:b/>
          <w:bCs/>
          <w:i/>
          <w:iCs/>
          <w:color w:val="303030"/>
          <w:sz w:val="20"/>
          <w:szCs w:val="20"/>
          <w:lang w:eastAsia="ru-RU" w:bidi="he-IL"/>
        </w:rPr>
        <w:t>двухступенчатый подход</w:t>
      </w:r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: сначала пациента </w:t>
      </w:r>
      <w:proofErr w:type="spellStart"/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>скринируют</w:t>
      </w:r>
      <w:proofErr w:type="spellEnd"/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 xml:space="preserve"> по шкале SIC (сепсис-индуцированная </w:t>
      </w:r>
      <w:proofErr w:type="spellStart"/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>коагулопатия</w:t>
      </w:r>
      <w:proofErr w:type="spellEnd"/>
      <w:r w:rsidRPr="00C37654">
        <w:rPr>
          <w:rFonts w:ascii="Google Sans Text" w:eastAsia="Times New Roman" w:hAnsi="Google Sans Text" w:cs="Times New Roman"/>
          <w:i/>
          <w:iCs/>
          <w:color w:val="303030"/>
          <w:sz w:val="20"/>
          <w:szCs w:val="20"/>
          <w:lang w:eastAsia="ru-RU" w:bidi="he-IL"/>
        </w:rPr>
        <w:t>), и при выявлении отклонений проводят углубленное исследование на наличие явного ДВС по критериям ISTH.</w:t>
      </w:r>
    </w:p>
    <w:p w:rsidR="00C37654" w:rsidRPr="00C37654" w:rsidRDefault="00C37654" w:rsidP="00C37654">
      <w:pPr>
        <w:spacing w:after="0" w:line="276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eastAsia="ru-RU" w:bidi="he-IL"/>
        </w:rPr>
      </w:pPr>
      <w:r w:rsidRPr="00C37654">
        <w:rPr>
          <w:rFonts w:ascii="Times New Roman" w:eastAsia="Times New Roman" w:hAnsi="Times New Roman" w:cs="Times New Roman"/>
          <w:color w:val="303030"/>
          <w:sz w:val="24"/>
          <w:szCs w:val="24"/>
          <w:lang w:eastAsia="ru-RU" w:bidi="he-IL"/>
        </w:rPr>
        <w:t xml:space="preserve">Таким образом, если шкалы SIC и JAAM-DIC служат сигналом для начала лечения, то </w:t>
      </w:r>
      <w:r w:rsidRPr="00C376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 w:bidi="he-IL"/>
        </w:rPr>
        <w:t xml:space="preserve">ISTH </w:t>
      </w:r>
      <w:proofErr w:type="spellStart"/>
      <w:r w:rsidRPr="00C376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 w:bidi="he-IL"/>
        </w:rPr>
        <w:t>overt</w:t>
      </w:r>
      <w:proofErr w:type="spellEnd"/>
      <w:r w:rsidRPr="00C376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 w:bidi="he-IL"/>
        </w:rPr>
        <w:t xml:space="preserve"> DIC подтверждает развитие критического состояния системы гемостаза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Внимание</w:t>
      </w:r>
      <w:proofErr w:type="gramStart"/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: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При</w:t>
      </w:r>
      <w:proofErr w:type="gramEnd"/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неэффективности стандартной терапии ДВС-синдрома врач обязан исключить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ТМА (тромботическую микроангиопатию)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и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ГИТ (гепарин-индуцированную тромбоцитопению)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Специфическая терапия ДВС:</w:t>
      </w:r>
    </w:p>
    <w:p w:rsidR="008E327B" w:rsidRPr="008E327B" w:rsidRDefault="008E327B" w:rsidP="00C37654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Рутинное назначение антитромбина при сепсис-ассоциированном ДВС не следует формулировать как универсальную рекомендацию без учета конкретной версии J-SSCG и локальной практики.</w:t>
      </w:r>
    </w:p>
    <w:p w:rsidR="008E327B" w:rsidRPr="008E327B" w:rsidRDefault="008E327B" w:rsidP="00C37654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Рекомбинантный тромбомодулин не следует представлять как универсально обязательную терапию ДВС; решение должно соответствовать локально доступной доказательной базе и действующей версии J-SSCG.</w:t>
      </w:r>
    </w:p>
    <w:p w:rsidR="008E327B" w:rsidRPr="008E327B" w:rsidRDefault="008E327B" w:rsidP="00C37654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he-IL"/>
        </w:rPr>
      </w:pPr>
      <w:r>
        <w:rPr>
          <w:rFonts w:ascii="Arial" w:hAnsi="Arial"/>
          <w:sz w:val="21"/>
        </w:rPr>
        <w:t>9. Реабилитация и поддержка (PICS)</w:t>
      </w:r>
    </w:p>
    <w:p w:rsidR="008E327B" w:rsidRPr="008E327B" w:rsidRDefault="008E327B" w:rsidP="00C3765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Для минимизации пост-интенсивного синдрома (PICS) протокол предусматривает:</w:t>
      </w:r>
    </w:p>
    <w:p w:rsidR="008E327B" w:rsidRPr="008E327B" w:rsidRDefault="008E327B" w:rsidP="00C37654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Раннюю реабилитацию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сразу после стабилизации гемодинамики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[GRADE 2D]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Pr="008E327B" w:rsidRDefault="008E327B" w:rsidP="00C37654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Электростимуляцию мышц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для профилактики мышечной слабости (ICU-AW)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[GRADE 2C]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Pr="008E327B" w:rsidRDefault="008E327B" w:rsidP="00C37654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Ведение дневников ОРИТ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для профилактики когнитивных и психических расстройств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[GRADE 2C]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8E327B" w:rsidRDefault="008E327B" w:rsidP="00C37654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Письменное информирование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семей пациентов о процессах интенсивной терапии </w:t>
      </w:r>
      <w:r w:rsidRPr="008E3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[GRADE 2C]</w:t>
      </w:r>
      <w:r w:rsidRPr="008E327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:rsidR="00C37654" w:rsidRPr="008E327B" w:rsidRDefault="00C37654" w:rsidP="00C37654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C37654" w:rsidRPr="00C37654" w:rsidRDefault="00C37654" w:rsidP="00C37654">
      <w:pPr>
        <w:spacing w:after="0" w:line="276" w:lineRule="auto"/>
        <w:rPr>
          <w:rFonts w:asciiTheme="majorBidi" w:eastAsia="Times New Roman" w:hAnsiTheme="majorBidi" w:cstheme="majorBidi"/>
          <w:b/>
          <w:bCs/>
          <w:color w:val="303030"/>
          <w:sz w:val="24"/>
          <w:szCs w:val="24"/>
          <w:lang w:eastAsia="ru-RU" w:bidi="he-IL"/>
        </w:rPr>
      </w:pPr>
      <w:r w:rsidRPr="00C37654">
        <w:rPr>
          <w:rFonts w:asciiTheme="majorBidi" w:eastAsia="Times New Roman" w:hAnsiTheme="majorBidi" w:cstheme="majorBidi"/>
          <w:b/>
          <w:bCs/>
          <w:color w:val="303030"/>
          <w:sz w:val="24"/>
          <w:szCs w:val="24"/>
          <w:lang w:eastAsia="ru-RU" w:bidi="he-IL"/>
        </w:rPr>
        <w:t>Критерии «излечения» и прекращения интенсивной терапии</w:t>
      </w:r>
    </w:p>
    <w:p w:rsidR="00C37654" w:rsidRPr="00C37654" w:rsidRDefault="00C37654" w:rsidP="00C37654">
      <w:pPr>
        <w:spacing w:after="0" w:line="276" w:lineRule="auto"/>
        <w:rPr>
          <w:rFonts w:asciiTheme="majorBidi" w:eastAsia="Times New Roman" w:hAnsiTheme="majorBidi" w:cstheme="majorBidi"/>
          <w:color w:val="303030"/>
          <w:sz w:val="24"/>
          <w:szCs w:val="24"/>
          <w:lang w:eastAsia="ru-RU" w:bidi="he-IL"/>
        </w:rPr>
      </w:pPr>
      <w:r w:rsidRPr="00C37654">
        <w:rPr>
          <w:rFonts w:asciiTheme="majorBidi" w:eastAsia="Times New Roman" w:hAnsiTheme="majorBidi" w:cstheme="majorBidi"/>
          <w:color w:val="303030"/>
          <w:sz w:val="24"/>
          <w:szCs w:val="24"/>
          <w:lang w:eastAsia="ru-RU" w:bidi="he-IL"/>
        </w:rPr>
        <w:lastRenderedPageBreak/>
        <w:t xml:space="preserve">В литературе не используется единый формальный термин «излечение», но описываются критерии </w:t>
      </w:r>
      <w:r w:rsidRPr="00C37654">
        <w:rPr>
          <w:rFonts w:asciiTheme="majorBidi" w:eastAsia="Times New Roman" w:hAnsiTheme="majorBidi" w:cstheme="majorBidi"/>
          <w:b/>
          <w:bCs/>
          <w:color w:val="303030"/>
          <w:sz w:val="24"/>
          <w:szCs w:val="24"/>
          <w:lang w:eastAsia="ru-RU" w:bidi="he-IL"/>
        </w:rPr>
        <w:t>прекращения антибактериальной терапии (АБТ)</w:t>
      </w:r>
      <w:r w:rsidRPr="00C37654">
        <w:rPr>
          <w:rFonts w:asciiTheme="majorBidi" w:eastAsia="Times New Roman" w:hAnsiTheme="majorBidi" w:cstheme="majorBidi"/>
          <w:color w:val="303030"/>
          <w:sz w:val="24"/>
          <w:szCs w:val="24"/>
          <w:lang w:eastAsia="ru-RU" w:bidi="he-IL"/>
        </w:rPr>
        <w:t xml:space="preserve"> и </w:t>
      </w:r>
      <w:r w:rsidRPr="00C37654">
        <w:rPr>
          <w:rFonts w:asciiTheme="majorBidi" w:eastAsia="Times New Roman" w:hAnsiTheme="majorBidi" w:cstheme="majorBidi"/>
          <w:b/>
          <w:bCs/>
          <w:color w:val="303030"/>
          <w:sz w:val="24"/>
          <w:szCs w:val="24"/>
          <w:lang w:eastAsia="ru-RU" w:bidi="he-IL"/>
        </w:rPr>
        <w:t>стабилизации состояния</w:t>
      </w:r>
      <w:r w:rsidRPr="00C37654">
        <w:rPr>
          <w:rFonts w:asciiTheme="majorBidi" w:eastAsia="Times New Roman" w:hAnsiTheme="majorBidi" w:cstheme="majorBidi"/>
          <w:color w:val="303030"/>
          <w:sz w:val="24"/>
          <w:szCs w:val="24"/>
          <w:lang w:eastAsia="ru-RU" w:bidi="he-IL"/>
        </w:rPr>
        <w:t>, которые фактически означают купирование острого процесса:</w:t>
      </w:r>
    </w:p>
    <w:p w:rsidR="00C37654" w:rsidRPr="00C37654" w:rsidRDefault="00C37654" w:rsidP="00C3765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color w:val="303030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Для оценки динамики состояния следует использовать изменение SOFA во времени и клиническую стабилизацию; универсального критерия «SOFA ≤2 = излечение» не существует.</w:t>
      </w:r>
    </w:p>
    <w:p w:rsidR="00C37654" w:rsidRPr="00C37654" w:rsidRDefault="00C37654" w:rsidP="00C3765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color w:val="303030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Клиническая стабилизация оценивается комплексно; отсутствие лихорадки и нормализация лейкоцитов сами по себе не являются обязательными критериями прекращения лечения.</w:t>
      </w:r>
    </w:p>
    <w:p w:rsidR="00C37654" w:rsidRPr="00C37654" w:rsidRDefault="00C37654" w:rsidP="00C3765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color w:val="303030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Динамика прокальцитонина может быть дополнительным ориентиром для прекращения антибиотикотерапии в отдельных клинических ситуациях, но фиксированные пороги 80% или &lt;0,5 нг/мл не должны использоваться как обязательные критерии.</w:t>
      </w:r>
    </w:p>
    <w:p w:rsidR="00C37654" w:rsidRPr="00C37654" w:rsidRDefault="00C37654" w:rsidP="00C3765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color w:val="303030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Контроль источника является ключевым условием улучшения. Повторные гемокультуры необходимы не во всех случаях и должны выполняться по клиническим показаниям.</w:t>
      </w:r>
    </w:p>
    <w:p w:rsidR="00C37654" w:rsidRPr="00C37654" w:rsidRDefault="00C37654" w:rsidP="00C3765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color w:val="303030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Гемодинамическая стабилизация: отсутствие потребности в вазопрессорах при приемлемой перфузии и индивидуально выбранной целевой MAP.</w:t>
      </w:r>
    </w:p>
    <w:p w:rsidR="00C37654" w:rsidRPr="00C37654" w:rsidRDefault="00C37654" w:rsidP="00C3765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color w:val="303030"/>
          <w:sz w:val="24"/>
          <w:szCs w:val="24"/>
          <w:lang w:eastAsia="ru-RU" w:bidi="he-IL"/>
        </w:rPr>
      </w:pPr>
      <w:r w:rsidRPr="00C37654">
        <w:rPr>
          <w:rFonts w:asciiTheme="majorBidi" w:eastAsia="Times New Roman" w:hAnsiTheme="majorBidi" w:cstheme="majorBidi"/>
          <w:b/>
          <w:bCs/>
          <w:color w:val="303030"/>
          <w:sz w:val="24"/>
          <w:szCs w:val="24"/>
          <w:lang w:eastAsia="ru-RU" w:bidi="he-IL"/>
        </w:rPr>
        <w:t>Переход на пероральный прием:</w:t>
      </w:r>
      <w:r w:rsidRPr="00C37654">
        <w:rPr>
          <w:rFonts w:asciiTheme="majorBidi" w:eastAsia="Times New Roman" w:hAnsiTheme="majorBidi" w:cstheme="majorBidi"/>
          <w:color w:val="303030"/>
          <w:sz w:val="24"/>
          <w:szCs w:val="24"/>
          <w:lang w:eastAsia="ru-RU" w:bidi="he-IL"/>
        </w:rPr>
        <w:t xml:space="preserve"> Возможность приема лекарств внутрь при сохраняющемся клиническом улучшении</w:t>
      </w:r>
    </w:p>
    <w:p w:rsidR="00C37654" w:rsidRDefault="00C37654" w:rsidP="00C37654">
      <w:pPr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lang w:eastAsia="ru-RU" w:bidi="he-IL"/>
        </w:rPr>
      </w:pPr>
      <w:r w:rsidRPr="00C37654">
        <w:rPr>
          <w:rFonts w:asciiTheme="majorBidi" w:eastAsia="Times New Roman" w:hAnsiTheme="majorBidi" w:cstheme="majorBidi"/>
          <w:b/>
          <w:bCs/>
          <w:sz w:val="32"/>
          <w:szCs w:val="32"/>
          <w:lang w:eastAsia="ru-RU" w:bidi="he-IL"/>
        </w:rPr>
        <w:t>Критерии оценки качества оказания медицинской помощи</w:t>
      </w:r>
    </w:p>
    <w:p w:rsidR="00C37654" w:rsidRPr="00C37654" w:rsidRDefault="00C37654" w:rsidP="00C37654">
      <w:pPr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lang w:eastAsia="ru-RU" w:bidi="he-IL"/>
        </w:rPr>
      </w:pPr>
    </w:p>
    <w:p w:rsidR="00C37654" w:rsidRPr="00C37654" w:rsidRDefault="00C37654" w:rsidP="00C37654">
      <w:p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ru-RU" w:bidi="he-IL"/>
        </w:rPr>
      </w:pPr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>Для оценки качества работы врача и лечебного учреждения используются показатели приверженности протоколам и своевременность действий:</w:t>
      </w:r>
    </w:p>
    <w:p w:rsidR="00C37654" w:rsidRPr="00C37654" w:rsidRDefault="00C37654" w:rsidP="00C3765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4"/>
          <w:szCs w:val="24"/>
          <w:lang w:eastAsia="ru-RU" w:bidi="he-IL"/>
        </w:rPr>
      </w:pPr>
      <w:r w:rsidRPr="00C37654">
        <w:rPr>
          <w:rFonts w:asciiTheme="majorBidi" w:eastAsia="Times New Roman" w:hAnsiTheme="majorBidi" w:cstheme="majorBidi"/>
          <w:b/>
          <w:bCs/>
          <w:sz w:val="24"/>
          <w:szCs w:val="24"/>
          <w:lang w:eastAsia="ru-RU" w:bidi="he-IL"/>
        </w:rPr>
        <w:t>Скрининг и раннее выявление:</w:t>
      </w:r>
    </w:p>
    <w:p w:rsidR="00C37654" w:rsidRPr="00C37654" w:rsidRDefault="00C37654" w:rsidP="00C37654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4"/>
          <w:szCs w:val="24"/>
          <w:lang w:eastAsia="ru-RU" w:bidi="he-IL"/>
        </w:rPr>
      </w:pPr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Использование шкал раннего предупреждения, таких как </w:t>
      </w:r>
      <w:r w:rsidRPr="00C37654">
        <w:rPr>
          <w:rFonts w:asciiTheme="majorBidi" w:eastAsia="Times New Roman" w:hAnsiTheme="majorBidi" w:cstheme="majorBidi"/>
          <w:b/>
          <w:bCs/>
          <w:sz w:val="24"/>
          <w:szCs w:val="24"/>
          <w:lang w:eastAsia="ru-RU" w:bidi="he-IL"/>
        </w:rPr>
        <w:t>NEWS, NEWS2 или MEWS</w:t>
      </w:r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 (рекомендуются как более чувствительные, чем </w:t>
      </w:r>
      <w:proofErr w:type="spellStart"/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>qSOFA</w:t>
      </w:r>
      <w:proofErr w:type="spellEnd"/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>) для пациентов в общих отделениях и приемном покое.</w:t>
      </w:r>
    </w:p>
    <w:p w:rsidR="00C37654" w:rsidRPr="00C37654" w:rsidRDefault="00C37654" w:rsidP="00C3765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4"/>
          <w:szCs w:val="24"/>
          <w:lang w:eastAsia="ru-RU" w:bidi="he-IL"/>
        </w:rPr>
      </w:pPr>
      <w:r w:rsidRPr="00C37654">
        <w:rPr>
          <w:rFonts w:asciiTheme="majorBidi" w:eastAsia="Times New Roman" w:hAnsiTheme="majorBidi" w:cstheme="majorBidi"/>
          <w:b/>
          <w:bCs/>
          <w:sz w:val="24"/>
          <w:szCs w:val="24"/>
          <w:lang w:eastAsia="ru-RU" w:bidi="he-IL"/>
        </w:rPr>
        <w:t xml:space="preserve">Комплекс «первого часа» (Hour-1 </w:t>
      </w:r>
      <w:proofErr w:type="spellStart"/>
      <w:r w:rsidRPr="00C37654">
        <w:rPr>
          <w:rFonts w:asciiTheme="majorBidi" w:eastAsia="Times New Roman" w:hAnsiTheme="majorBidi" w:cstheme="majorBidi"/>
          <w:b/>
          <w:bCs/>
          <w:sz w:val="24"/>
          <w:szCs w:val="24"/>
          <w:lang w:eastAsia="ru-RU" w:bidi="he-IL"/>
        </w:rPr>
        <w:t>Bundle</w:t>
      </w:r>
      <w:proofErr w:type="spellEnd"/>
      <w:r w:rsidRPr="00C37654">
        <w:rPr>
          <w:rFonts w:asciiTheme="majorBidi" w:eastAsia="Times New Roman" w:hAnsiTheme="majorBidi" w:cstheme="majorBidi"/>
          <w:b/>
          <w:bCs/>
          <w:sz w:val="24"/>
          <w:szCs w:val="24"/>
          <w:lang w:eastAsia="ru-RU" w:bidi="he-IL"/>
        </w:rPr>
        <w:t>):</w:t>
      </w:r>
    </w:p>
    <w:p w:rsidR="00C37654" w:rsidRPr="00C37654" w:rsidRDefault="00C37654" w:rsidP="00C37654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4"/>
          <w:szCs w:val="24"/>
          <w:lang w:eastAsia="ru-RU" w:bidi="he-IL"/>
        </w:rPr>
      </w:pPr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Измерение уровня </w:t>
      </w:r>
      <w:proofErr w:type="spellStart"/>
      <w:r w:rsidRPr="00C37654">
        <w:rPr>
          <w:rFonts w:asciiTheme="majorBidi" w:eastAsia="Times New Roman" w:hAnsiTheme="majorBidi" w:cstheme="majorBidi"/>
          <w:b/>
          <w:bCs/>
          <w:sz w:val="24"/>
          <w:szCs w:val="24"/>
          <w:lang w:eastAsia="ru-RU" w:bidi="he-IL"/>
        </w:rPr>
        <w:t>лактата</w:t>
      </w:r>
      <w:proofErr w:type="spellEnd"/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 в крови в течение первого часа.</w:t>
      </w:r>
    </w:p>
    <w:p w:rsidR="00C37654" w:rsidRPr="00C37654" w:rsidRDefault="00C37654" w:rsidP="00C37654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4"/>
          <w:szCs w:val="24"/>
          <w:lang w:eastAsia="ru-RU" w:bidi="he-IL"/>
        </w:rPr>
      </w:pPr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Забор образцов крови на </w:t>
      </w:r>
      <w:r w:rsidRPr="00C37654">
        <w:rPr>
          <w:rFonts w:asciiTheme="majorBidi" w:eastAsia="Times New Roman" w:hAnsiTheme="majorBidi" w:cstheme="majorBidi"/>
          <w:b/>
          <w:bCs/>
          <w:sz w:val="24"/>
          <w:szCs w:val="24"/>
          <w:lang w:eastAsia="ru-RU" w:bidi="he-IL"/>
        </w:rPr>
        <w:t>микробиологическое исследование</w:t>
      </w:r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 (минимум два набора) </w:t>
      </w:r>
      <w:r w:rsidRPr="00C37654">
        <w:rPr>
          <w:rFonts w:asciiTheme="majorBidi" w:eastAsia="Times New Roman" w:hAnsiTheme="majorBidi" w:cstheme="majorBidi"/>
          <w:b/>
          <w:bCs/>
          <w:sz w:val="24"/>
          <w:szCs w:val="24"/>
          <w:lang w:eastAsia="ru-RU" w:bidi="he-IL"/>
        </w:rPr>
        <w:t>до введения</w:t>
      </w:r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 антибиотиков.</w:t>
      </w:r>
    </w:p>
    <w:p w:rsidR="00C37654" w:rsidRPr="00C37654" w:rsidRDefault="00C37654" w:rsidP="00C37654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Начало адекватной эмпирической антимикробной терапии без неоправданной задержки; при септическом шоке и высокой вероятности инфекции — немедленно. Выбор спектра должен учитывать предполагаемый очаг, локальную резистентность и индивидуальные факторы риска MDR.</w:t>
      </w:r>
    </w:p>
    <w:p w:rsidR="00C37654" w:rsidRPr="00C37654" w:rsidRDefault="00C37654" w:rsidP="00C37654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Начало инфузии кристаллоидов при сепсис-индуцированной гипоперфузии или септическом шоке с последующей частой переоценкой; порог лактата ≥4 ммоль/л не следует использовать как единственное условие для назначения 30 мл/кг.</w:t>
      </w:r>
    </w:p>
    <w:p w:rsidR="00C37654" w:rsidRPr="00C37654" w:rsidRDefault="00C37654" w:rsidP="00C37654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4"/>
          <w:szCs w:val="24"/>
          <w:lang w:eastAsia="ru-RU" w:bidi="he-IL"/>
        </w:rPr>
      </w:pPr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Применение </w:t>
      </w:r>
      <w:proofErr w:type="spellStart"/>
      <w:r w:rsidRPr="00C37654">
        <w:rPr>
          <w:rFonts w:asciiTheme="majorBidi" w:eastAsia="Times New Roman" w:hAnsiTheme="majorBidi" w:cstheme="majorBidi"/>
          <w:b/>
          <w:bCs/>
          <w:sz w:val="24"/>
          <w:szCs w:val="24"/>
          <w:lang w:eastAsia="ru-RU" w:bidi="he-IL"/>
        </w:rPr>
        <w:t>вазопрессоров</w:t>
      </w:r>
      <w:proofErr w:type="spellEnd"/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 (препарат первой линии — норадреналин), если САД остается &lt;65 мм рт. ст. после или </w:t>
      </w:r>
      <w:proofErr w:type="gramStart"/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>во время</w:t>
      </w:r>
      <w:proofErr w:type="gramEnd"/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 инфузии.</w:t>
      </w:r>
    </w:p>
    <w:p w:rsidR="00C37654" w:rsidRPr="00C37654" w:rsidRDefault="00C37654" w:rsidP="00C3765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4"/>
          <w:szCs w:val="24"/>
          <w:lang w:eastAsia="ru-RU" w:bidi="he-IL"/>
        </w:rPr>
      </w:pPr>
      <w:r>
        <w:rPr>
          <w:rFonts w:ascii="Arial" w:hAnsi="Arial"/>
          <w:sz w:val="21"/>
        </w:rPr>
        <w:t>Контроль источника: при наличии очага, требующего вмешательства, выполнить его как можно раньше; SSC 2026 предлагает ориентироваться на ранний source control, в идеале в течение 6 часов после диагностики, когда вмешательство показано.</w:t>
      </w:r>
    </w:p>
    <w:p w:rsidR="00C37654" w:rsidRPr="00C37654" w:rsidRDefault="00C37654" w:rsidP="00C3765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4"/>
          <w:szCs w:val="24"/>
          <w:lang w:eastAsia="ru-RU" w:bidi="he-IL"/>
        </w:rPr>
      </w:pPr>
      <w:r w:rsidRPr="00C37654">
        <w:rPr>
          <w:rFonts w:asciiTheme="majorBidi" w:eastAsia="Times New Roman" w:hAnsiTheme="majorBidi" w:cstheme="majorBidi"/>
          <w:b/>
          <w:bCs/>
          <w:sz w:val="24"/>
          <w:szCs w:val="24"/>
          <w:lang w:eastAsia="ru-RU" w:bidi="he-IL"/>
        </w:rPr>
        <w:lastRenderedPageBreak/>
        <w:t>Стратегия улучшения качества (QI):</w:t>
      </w:r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 Наличие в клинике систем электронного оповещения о сепсисе, протоколов «</w:t>
      </w:r>
      <w:proofErr w:type="spellStart"/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>code</w:t>
      </w:r>
      <w:proofErr w:type="spellEnd"/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 xml:space="preserve"> </w:t>
      </w:r>
      <w:proofErr w:type="spellStart"/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>sepsis</w:t>
      </w:r>
      <w:proofErr w:type="spellEnd"/>
      <w:r w:rsidRPr="00C37654">
        <w:rPr>
          <w:rFonts w:asciiTheme="majorBidi" w:eastAsia="Times New Roman" w:hAnsiTheme="majorBidi" w:cstheme="majorBidi"/>
          <w:sz w:val="24"/>
          <w:szCs w:val="24"/>
          <w:lang w:eastAsia="ru-RU" w:bidi="he-IL"/>
        </w:rPr>
        <w:t>» (мультидисциплинарных команд) и регулярный аудит соблюдения протоколов</w:t>
      </w:r>
    </w:p>
    <w:p w:rsidR="00A15413" w:rsidRPr="00C37654" w:rsidRDefault="00A918D0" w:rsidP="00C37654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D56AFA" w:rsidRDefault="00A918D0">
      <w:r>
        <w:rPr>
          <w:rFonts w:ascii="Arial" w:hAnsi="Arial"/>
          <w:sz w:val="21"/>
        </w:rPr>
        <w:br w:type="page"/>
      </w:r>
    </w:p>
    <w:p w:rsidR="00D56AFA" w:rsidRDefault="00A918D0">
      <w:pPr>
        <w:jc w:val="center"/>
      </w:pPr>
      <w:r>
        <w:rPr>
          <w:rFonts w:ascii="Arial" w:hAnsi="Arial"/>
          <w:b/>
          <w:sz w:val="28"/>
        </w:rPr>
        <w:lastRenderedPageBreak/>
        <w:t>Основные источники</w:t>
      </w:r>
    </w:p>
    <w:p w:rsidR="00D56AFA" w:rsidRPr="00A918D0" w:rsidRDefault="00A918D0">
      <w:pPr>
        <w:rPr>
          <w:lang w:val="en-US"/>
        </w:rPr>
      </w:pPr>
      <w:r>
        <w:rPr>
          <w:rFonts w:ascii="Arial" w:hAnsi="Arial"/>
          <w:sz w:val="21"/>
        </w:rPr>
        <w:t xml:space="preserve">1. Singer M, Deutschman CS, Seymour CW, et al. </w:t>
      </w:r>
      <w:r w:rsidRPr="00A918D0">
        <w:rPr>
          <w:rFonts w:ascii="Arial" w:hAnsi="Arial"/>
          <w:sz w:val="21"/>
          <w:lang w:val="en-US"/>
        </w:rPr>
        <w:t>The Third International Consensus Definitions for Sepsis and Septic Shock (Sepsis-3). JAMA. 2016;315(8):801–810. doi:10.1001/jam</w:t>
      </w:r>
      <w:r w:rsidRPr="00A918D0">
        <w:rPr>
          <w:rFonts w:ascii="Arial" w:hAnsi="Arial"/>
          <w:sz w:val="21"/>
          <w:lang w:val="en-US"/>
        </w:rPr>
        <w:t>a.2016.0287.</w:t>
      </w:r>
    </w:p>
    <w:p w:rsidR="00D56AFA" w:rsidRPr="00A918D0" w:rsidRDefault="00A918D0">
      <w:pPr>
        <w:rPr>
          <w:lang w:val="en-US"/>
        </w:rPr>
      </w:pPr>
      <w:r w:rsidRPr="00A918D0">
        <w:rPr>
          <w:rFonts w:ascii="Arial" w:hAnsi="Arial"/>
          <w:sz w:val="21"/>
          <w:lang w:val="en-US"/>
        </w:rPr>
        <w:t>2. Shankar-Hari M, Phillips GS, Levy ML, et al. Developing a New Definition and Assessing New Clinical Criteria for Septic Shock (Sepsis-3). JAMA. 2016;315(8):775–787. doi:10.1001/jama.2016.0289.</w:t>
      </w:r>
    </w:p>
    <w:p w:rsidR="00D56AFA" w:rsidRPr="00A918D0" w:rsidRDefault="00A918D0">
      <w:pPr>
        <w:rPr>
          <w:lang w:val="en-US"/>
        </w:rPr>
      </w:pPr>
      <w:r w:rsidRPr="00A918D0">
        <w:rPr>
          <w:rFonts w:ascii="Arial" w:hAnsi="Arial"/>
          <w:sz w:val="21"/>
          <w:lang w:val="en-US"/>
        </w:rPr>
        <w:t xml:space="preserve">3. Prescott HC, Antonelli M, </w:t>
      </w:r>
      <w:proofErr w:type="spellStart"/>
      <w:r w:rsidRPr="00A918D0">
        <w:rPr>
          <w:rFonts w:ascii="Arial" w:hAnsi="Arial"/>
          <w:sz w:val="21"/>
          <w:lang w:val="en-US"/>
        </w:rPr>
        <w:t>Alhazzani</w:t>
      </w:r>
      <w:proofErr w:type="spellEnd"/>
      <w:r w:rsidRPr="00A918D0">
        <w:rPr>
          <w:rFonts w:ascii="Arial" w:hAnsi="Arial"/>
          <w:sz w:val="21"/>
          <w:lang w:val="en-US"/>
        </w:rPr>
        <w:t xml:space="preserve"> W, et </w:t>
      </w:r>
      <w:r w:rsidRPr="00A918D0">
        <w:rPr>
          <w:rFonts w:ascii="Arial" w:hAnsi="Arial"/>
          <w:sz w:val="21"/>
          <w:lang w:val="en-US"/>
        </w:rPr>
        <w:t xml:space="preserve">al. Surviving Sepsis Campaign: International Guidelines for Management of Sepsis and Septic Shock 2026. </w:t>
      </w:r>
      <w:proofErr w:type="spellStart"/>
      <w:r w:rsidRPr="00A918D0">
        <w:rPr>
          <w:rFonts w:ascii="Arial" w:hAnsi="Arial"/>
          <w:sz w:val="21"/>
          <w:lang w:val="en-US"/>
        </w:rPr>
        <w:t>Crit</w:t>
      </w:r>
      <w:proofErr w:type="spellEnd"/>
      <w:r w:rsidRPr="00A918D0">
        <w:rPr>
          <w:rFonts w:ascii="Arial" w:hAnsi="Arial"/>
          <w:sz w:val="21"/>
          <w:lang w:val="en-US"/>
        </w:rPr>
        <w:t xml:space="preserve"> Care Med. 2026. doi:10.1097/CCM.0000000000007075.</w:t>
      </w:r>
    </w:p>
    <w:p w:rsidR="00D56AFA" w:rsidRDefault="00A918D0">
      <w:r w:rsidRPr="00A918D0">
        <w:rPr>
          <w:rFonts w:ascii="Arial" w:hAnsi="Arial"/>
          <w:sz w:val="21"/>
          <w:lang w:val="en-US"/>
        </w:rPr>
        <w:t xml:space="preserve">4. </w:t>
      </w:r>
      <w:proofErr w:type="spellStart"/>
      <w:r w:rsidRPr="00A918D0">
        <w:rPr>
          <w:rFonts w:ascii="Arial" w:hAnsi="Arial"/>
          <w:sz w:val="21"/>
          <w:lang w:val="en-US"/>
        </w:rPr>
        <w:t>Shime</w:t>
      </w:r>
      <w:proofErr w:type="spellEnd"/>
      <w:r w:rsidRPr="00A918D0">
        <w:rPr>
          <w:rFonts w:ascii="Arial" w:hAnsi="Arial"/>
          <w:sz w:val="21"/>
          <w:lang w:val="en-US"/>
        </w:rPr>
        <w:t xml:space="preserve"> N, Nakada T-a, </w:t>
      </w:r>
      <w:proofErr w:type="spellStart"/>
      <w:r w:rsidRPr="00A918D0">
        <w:rPr>
          <w:rFonts w:ascii="Arial" w:hAnsi="Arial"/>
          <w:sz w:val="21"/>
          <w:lang w:val="en-US"/>
        </w:rPr>
        <w:t>Yatabe</w:t>
      </w:r>
      <w:proofErr w:type="spellEnd"/>
      <w:r w:rsidRPr="00A918D0">
        <w:rPr>
          <w:rFonts w:ascii="Arial" w:hAnsi="Arial"/>
          <w:sz w:val="21"/>
          <w:lang w:val="en-US"/>
        </w:rPr>
        <w:t xml:space="preserve"> T, </w:t>
      </w:r>
      <w:proofErr w:type="spellStart"/>
      <w:r w:rsidRPr="00A918D0">
        <w:rPr>
          <w:rFonts w:ascii="Arial" w:hAnsi="Arial"/>
          <w:sz w:val="21"/>
          <w:lang w:val="en-US"/>
        </w:rPr>
        <w:t>Yamakawa</w:t>
      </w:r>
      <w:proofErr w:type="spellEnd"/>
      <w:r w:rsidRPr="00A918D0">
        <w:rPr>
          <w:rFonts w:ascii="Arial" w:hAnsi="Arial"/>
          <w:sz w:val="21"/>
          <w:lang w:val="en-US"/>
        </w:rPr>
        <w:t xml:space="preserve"> K, Aoki Y, Inoue S, et al. The Japanese Clinical Pract</w:t>
      </w:r>
      <w:r w:rsidRPr="00A918D0">
        <w:rPr>
          <w:rFonts w:ascii="Arial" w:hAnsi="Arial"/>
          <w:sz w:val="21"/>
          <w:lang w:val="en-US"/>
        </w:rPr>
        <w:t xml:space="preserve">ice Guidelines for Management of Sepsis and Septic Shock 2024. </w:t>
      </w:r>
      <w:proofErr w:type="spellStart"/>
      <w:r>
        <w:rPr>
          <w:rFonts w:ascii="Arial" w:hAnsi="Arial"/>
          <w:sz w:val="21"/>
        </w:rPr>
        <w:t>Acute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Medicine</w:t>
      </w:r>
      <w:proofErr w:type="spellEnd"/>
      <w:r>
        <w:rPr>
          <w:rFonts w:ascii="Arial" w:hAnsi="Arial"/>
          <w:sz w:val="21"/>
        </w:rPr>
        <w:t xml:space="preserve"> &amp; </w:t>
      </w:r>
      <w:proofErr w:type="spellStart"/>
      <w:r>
        <w:rPr>
          <w:rFonts w:ascii="Arial" w:hAnsi="Arial"/>
          <w:sz w:val="21"/>
        </w:rPr>
        <w:t>Surgery</w:t>
      </w:r>
      <w:proofErr w:type="spellEnd"/>
      <w:r>
        <w:rPr>
          <w:rFonts w:ascii="Arial" w:hAnsi="Arial"/>
          <w:sz w:val="21"/>
        </w:rPr>
        <w:t>. 2025;12:e70037. doi:10.1002/ams2.70037.</w:t>
      </w:r>
    </w:p>
    <w:p w:rsidR="00D56AFA" w:rsidRDefault="00A918D0">
      <w:r>
        <w:rPr>
          <w:rFonts w:ascii="Arial" w:hAnsi="Arial"/>
          <w:sz w:val="21"/>
        </w:rPr>
        <w:t>5. Клиническое руководство для врачей «Сепсис», 2026, под редакцией Проценко — использовать как национальный/русскоязычный исто</w:t>
      </w:r>
      <w:r>
        <w:rPr>
          <w:rFonts w:ascii="Arial" w:hAnsi="Arial"/>
          <w:sz w:val="21"/>
        </w:rPr>
        <w:t>чник с обязательной проверкой конкретных рекомендаций и уровней доказательности перед официальным утверждением протокола.</w:t>
      </w:r>
    </w:p>
    <w:p w:rsidR="00D56AFA" w:rsidRDefault="00A918D0">
      <w:r>
        <w:rPr>
          <w:rFonts w:ascii="Arial" w:hAnsi="Arial"/>
          <w:b/>
          <w:sz w:val="21"/>
        </w:rPr>
        <w:t xml:space="preserve">Редакционная пометка. </w:t>
      </w:r>
      <w:r>
        <w:rPr>
          <w:rFonts w:ascii="Arial" w:hAnsi="Arial"/>
          <w:sz w:val="21"/>
        </w:rPr>
        <w:t>Документ предназначен как временный практический протокол до разработки и утверждения национального клинического</w:t>
      </w:r>
      <w:r>
        <w:rPr>
          <w:rFonts w:ascii="Arial" w:hAnsi="Arial"/>
          <w:sz w:val="21"/>
        </w:rPr>
        <w:t xml:space="preserve"> руководства Кыргызской Республики. Рекомендации, зависящие от локальной антибиотикорезистентности, доступности препаратов, лабораторной диагностики, хирургического source control и маршрутизации пациента, необходимо дополнить локальными алгоритмами.</w:t>
      </w:r>
    </w:p>
    <w:p w:rsidR="00D56AFA" w:rsidRDefault="00A918D0">
      <w:r>
        <w:rPr>
          <w:b/>
        </w:rPr>
        <w:t>Редак</w:t>
      </w:r>
      <w:r>
        <w:rPr>
          <w:b/>
        </w:rPr>
        <w:t xml:space="preserve">ционная пометка: </w:t>
      </w:r>
      <w:r>
        <w:t>целевой диапазон гликемии указан в ммоль/л: 7,8–10,0 ммоль/л (эквивалент 140–180 мг/дл).</w:t>
      </w:r>
    </w:p>
    <w:sectPr w:rsidR="00D56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ogle San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53A53"/>
    <w:multiLevelType w:val="multilevel"/>
    <w:tmpl w:val="95EE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9732D"/>
    <w:multiLevelType w:val="multilevel"/>
    <w:tmpl w:val="B032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D20B3"/>
    <w:multiLevelType w:val="multilevel"/>
    <w:tmpl w:val="4F2E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F5DBA"/>
    <w:multiLevelType w:val="multilevel"/>
    <w:tmpl w:val="D74C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E47E2"/>
    <w:multiLevelType w:val="multilevel"/>
    <w:tmpl w:val="CC7A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986548"/>
    <w:multiLevelType w:val="multilevel"/>
    <w:tmpl w:val="7F0E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D2962"/>
    <w:multiLevelType w:val="multilevel"/>
    <w:tmpl w:val="7BD6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73C74"/>
    <w:multiLevelType w:val="multilevel"/>
    <w:tmpl w:val="D7F8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7D2BEE"/>
    <w:multiLevelType w:val="multilevel"/>
    <w:tmpl w:val="F78A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44275"/>
    <w:multiLevelType w:val="multilevel"/>
    <w:tmpl w:val="6942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3864F4"/>
    <w:multiLevelType w:val="hybridMultilevel"/>
    <w:tmpl w:val="7532A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72D1C"/>
    <w:multiLevelType w:val="multilevel"/>
    <w:tmpl w:val="B1BA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970FC5"/>
    <w:multiLevelType w:val="multilevel"/>
    <w:tmpl w:val="6CEC2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786C27"/>
    <w:multiLevelType w:val="multilevel"/>
    <w:tmpl w:val="C1F8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BB7EA5"/>
    <w:multiLevelType w:val="multilevel"/>
    <w:tmpl w:val="8D5E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262741"/>
    <w:multiLevelType w:val="multilevel"/>
    <w:tmpl w:val="2C08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0C6875"/>
    <w:multiLevelType w:val="multilevel"/>
    <w:tmpl w:val="42E2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C947E1"/>
    <w:multiLevelType w:val="multilevel"/>
    <w:tmpl w:val="8B56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3D1EF4"/>
    <w:multiLevelType w:val="multilevel"/>
    <w:tmpl w:val="6BB4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456803"/>
    <w:multiLevelType w:val="multilevel"/>
    <w:tmpl w:val="211A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A66EB6"/>
    <w:multiLevelType w:val="multilevel"/>
    <w:tmpl w:val="13B8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5199B"/>
    <w:multiLevelType w:val="multilevel"/>
    <w:tmpl w:val="12EA1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7424D8"/>
    <w:multiLevelType w:val="multilevel"/>
    <w:tmpl w:val="6E2A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C479A0"/>
    <w:multiLevelType w:val="multilevel"/>
    <w:tmpl w:val="882A4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635566"/>
    <w:multiLevelType w:val="multilevel"/>
    <w:tmpl w:val="D368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B173EB"/>
    <w:multiLevelType w:val="multilevel"/>
    <w:tmpl w:val="AA0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1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24"/>
  </w:num>
  <w:num w:numId="8">
    <w:abstractNumId w:val="18"/>
  </w:num>
  <w:num w:numId="9">
    <w:abstractNumId w:val="25"/>
  </w:num>
  <w:num w:numId="10">
    <w:abstractNumId w:val="20"/>
  </w:num>
  <w:num w:numId="11">
    <w:abstractNumId w:val="11"/>
  </w:num>
  <w:num w:numId="12">
    <w:abstractNumId w:val="1"/>
  </w:num>
  <w:num w:numId="13">
    <w:abstractNumId w:val="2"/>
  </w:num>
  <w:num w:numId="14">
    <w:abstractNumId w:val="10"/>
  </w:num>
  <w:num w:numId="15">
    <w:abstractNumId w:val="19"/>
  </w:num>
  <w:num w:numId="16">
    <w:abstractNumId w:val="15"/>
  </w:num>
  <w:num w:numId="17">
    <w:abstractNumId w:val="3"/>
  </w:num>
  <w:num w:numId="18">
    <w:abstractNumId w:val="23"/>
  </w:num>
  <w:num w:numId="19">
    <w:abstractNumId w:val="13"/>
  </w:num>
  <w:num w:numId="20">
    <w:abstractNumId w:val="12"/>
  </w:num>
  <w:num w:numId="21">
    <w:abstractNumId w:val="4"/>
  </w:num>
  <w:num w:numId="22">
    <w:abstractNumId w:val="17"/>
  </w:num>
  <w:num w:numId="23">
    <w:abstractNumId w:val="14"/>
  </w:num>
  <w:num w:numId="24">
    <w:abstractNumId w:val="9"/>
  </w:num>
  <w:num w:numId="25">
    <w:abstractNumId w:val="16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7B"/>
    <w:rsid w:val="004A4906"/>
    <w:rsid w:val="004B0FD2"/>
    <w:rsid w:val="008243F9"/>
    <w:rsid w:val="00850F7F"/>
    <w:rsid w:val="008E327B"/>
    <w:rsid w:val="00A918D0"/>
    <w:rsid w:val="00C37654"/>
    <w:rsid w:val="00D56AFA"/>
    <w:rsid w:val="00E5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093E"/>
  <w15:chartTrackingRefBased/>
  <w15:docId w15:val="{FE58B714-E7E0-4213-9319-394FEB10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27B"/>
    <w:pPr>
      <w:ind w:left="720"/>
      <w:contextualSpacing/>
    </w:pPr>
  </w:style>
  <w:style w:type="character" w:customStyle="1" w:styleId="ng-star-inserted">
    <w:name w:val="ng-star-inserted"/>
    <w:basedOn w:val="a0"/>
    <w:rsid w:val="00C37654"/>
  </w:style>
  <w:style w:type="paragraph" w:customStyle="1" w:styleId="paragraph">
    <w:name w:val="paragraph"/>
    <w:basedOn w:val="a"/>
    <w:rsid w:val="00C3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styleId="a4">
    <w:name w:val="Strong"/>
    <w:basedOn w:val="a0"/>
    <w:uiPriority w:val="22"/>
    <w:qFormat/>
    <w:rsid w:val="00A918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7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3385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волкович</dc:creator>
  <cp:keywords/>
  <dc:description/>
  <cp:lastModifiedBy>олег волкович</cp:lastModifiedBy>
  <cp:revision>2</cp:revision>
  <dcterms:created xsi:type="dcterms:W3CDTF">2026-08-04T11:22:00Z</dcterms:created>
  <dcterms:modified xsi:type="dcterms:W3CDTF">2026-08-04T11:22:00Z</dcterms:modified>
</cp:coreProperties>
</file>